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7706A">
      <w:pPr>
        <w:spacing w:line="220" w:lineRule="atLeast"/>
        <w:jc w:val="center"/>
        <w:rPr>
          <w:rFonts w:ascii="黑体" w:hAnsi="黑体" w:eastAsia="黑体" w:cs="黑体"/>
          <w:sz w:val="44"/>
          <w:szCs w:val="44"/>
        </w:rPr>
      </w:pPr>
      <w:r>
        <w:rPr>
          <w:rFonts w:hint="eastAsia" w:ascii="黑体" w:hAnsi="黑体" w:eastAsia="黑体" w:cs="黑体"/>
          <w:sz w:val="44"/>
          <w:szCs w:val="44"/>
        </w:rPr>
        <w:t>用户需求</w:t>
      </w:r>
    </w:p>
    <w:p w14:paraId="59704149">
      <w:pPr>
        <w:numPr>
          <w:ilvl w:val="0"/>
          <w:numId w:val="1"/>
        </w:numPr>
        <w:spacing w:line="220" w:lineRule="atLeast"/>
        <w:ind w:firstLine="720"/>
        <w:rPr>
          <w:rFonts w:hint="eastAsia" w:ascii="黑体" w:hAnsi="黑体" w:eastAsia="黑体" w:cs="黑体"/>
          <w:sz w:val="32"/>
          <w:szCs w:val="32"/>
        </w:rPr>
      </w:pPr>
      <w:r>
        <w:rPr>
          <w:rFonts w:hint="eastAsia" w:ascii="黑体" w:hAnsi="黑体" w:eastAsia="黑体" w:cs="黑体"/>
          <w:sz w:val="32"/>
          <w:szCs w:val="32"/>
        </w:rPr>
        <w:t>项目名称</w:t>
      </w:r>
    </w:p>
    <w:p w14:paraId="2362D3EA">
      <w:pPr>
        <w:numPr>
          <w:ilvl w:val="-1"/>
          <w:numId w:val="0"/>
        </w:numPr>
        <w:spacing w:line="220" w:lineRule="atLeast"/>
        <w:ind w:firstLine="0"/>
        <w:rPr>
          <w:rFonts w:hint="eastAsia" w:ascii="仿宋" w:hAnsi="仿宋" w:eastAsia="仿宋" w:cs="仿宋"/>
          <w:sz w:val="32"/>
          <w:szCs w:val="32"/>
        </w:rPr>
      </w:pPr>
      <w:r>
        <w:rPr>
          <w:rFonts w:hint="eastAsia" w:ascii="仿宋" w:hAnsi="仿宋" w:eastAsia="仿宋" w:cs="仿宋"/>
          <w:sz w:val="32"/>
          <w:szCs w:val="32"/>
        </w:rPr>
        <w:t>广东省第二人民医院惠来医院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惠来县人民医院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HIS系统运维服务</w:t>
      </w:r>
      <w:r>
        <w:rPr>
          <w:rFonts w:hint="eastAsia" w:ascii="仿宋" w:hAnsi="仿宋" w:eastAsia="仿宋" w:cs="仿宋"/>
          <w:sz w:val="32"/>
          <w:szCs w:val="32"/>
        </w:rPr>
        <w:t>采购项目</w:t>
      </w:r>
    </w:p>
    <w:p w14:paraId="1C1845CF">
      <w:pPr>
        <w:numPr>
          <w:ilvl w:val="0"/>
          <w:numId w:val="1"/>
        </w:numPr>
        <w:adjustRightInd/>
        <w:snapToGrid/>
        <w:spacing w:after="0" w:line="315" w:lineRule="atLeast"/>
        <w:ind w:left="0" w:leftChars="0" w:firstLine="720" w:firstLineChars="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供应商资格</w:t>
      </w:r>
    </w:p>
    <w:p w14:paraId="7B0CFADA">
      <w:pPr>
        <w:adjustRightInd/>
        <w:snapToGrid/>
        <w:spacing w:after="0" w:line="315" w:lineRule="atLeast"/>
        <w:ind w:firstLine="645"/>
        <w:rPr>
          <w:rFonts w:hint="eastAsia" w:ascii="仿宋" w:hAnsi="仿宋" w:eastAsia="仿宋" w:cs="宋体"/>
          <w:color w:val="000000"/>
          <w:sz w:val="32"/>
          <w:szCs w:val="32"/>
        </w:rPr>
      </w:pPr>
      <w:bookmarkStart w:id="0" w:name="_GoBack"/>
      <w:r>
        <w:rPr>
          <w:rFonts w:hint="eastAsia" w:ascii="仿宋" w:hAnsi="仿宋" w:eastAsia="仿宋" w:cs="宋体"/>
          <w:color w:val="000000"/>
          <w:sz w:val="32"/>
          <w:szCs w:val="32"/>
        </w:rPr>
        <w:t>1、必须是在中华人民共和国境内注册的具有独立承担民事</w:t>
      </w:r>
      <w:bookmarkEnd w:id="0"/>
      <w:r>
        <w:rPr>
          <w:rFonts w:hint="eastAsia" w:ascii="仿宋" w:hAnsi="仿宋" w:eastAsia="仿宋" w:cs="宋体"/>
          <w:color w:val="000000"/>
          <w:sz w:val="32"/>
          <w:szCs w:val="32"/>
        </w:rPr>
        <w:t>责任能力的法人；</w:t>
      </w:r>
    </w:p>
    <w:p w14:paraId="082EF984">
      <w:pPr>
        <w:adjustRightInd/>
        <w:snapToGrid/>
        <w:spacing w:after="0" w:line="315" w:lineRule="atLeast"/>
        <w:ind w:firstLine="645"/>
        <w:rPr>
          <w:rFonts w:hint="eastAsia" w:ascii="仿宋" w:hAnsi="仿宋" w:eastAsia="仿宋" w:cs="宋体"/>
          <w:color w:val="000000"/>
          <w:sz w:val="32"/>
          <w:szCs w:val="32"/>
        </w:rPr>
      </w:pPr>
      <w:r>
        <w:rPr>
          <w:rFonts w:hint="eastAsia" w:ascii="仿宋" w:hAnsi="仿宋" w:eastAsia="仿宋" w:cs="宋体"/>
          <w:color w:val="000000"/>
          <w:sz w:val="32"/>
          <w:szCs w:val="32"/>
        </w:rPr>
        <w:t>2、依法取得营业执照（或事业单位法人证书，或社会团体法人登记证书，或执业许可证）、组织机构代码证和税务登记证复印件（或者“三证合一”复印件）（加盖公章）。</w:t>
      </w:r>
    </w:p>
    <w:p w14:paraId="149BEEB4">
      <w:pPr>
        <w:adjustRightInd/>
        <w:snapToGrid/>
        <w:spacing w:after="0" w:line="315" w:lineRule="atLeast"/>
        <w:ind w:firstLine="645"/>
        <w:rPr>
          <w:rFonts w:hint="eastAsia" w:ascii="仿宋" w:hAnsi="仿宋" w:eastAsia="仿宋" w:cs="宋体"/>
          <w:color w:val="000000"/>
          <w:sz w:val="32"/>
          <w:szCs w:val="32"/>
        </w:rPr>
      </w:pPr>
      <w:r>
        <w:rPr>
          <w:rFonts w:hint="eastAsia" w:ascii="仿宋" w:hAnsi="仿宋" w:eastAsia="仿宋" w:cs="宋体"/>
          <w:color w:val="000000"/>
          <w:sz w:val="32"/>
          <w:szCs w:val="32"/>
        </w:rPr>
        <w:t>3、具有履行合同所必需的设备和专业技术能力。</w:t>
      </w:r>
    </w:p>
    <w:p w14:paraId="056A4519">
      <w:pPr>
        <w:adjustRightInd/>
        <w:snapToGrid/>
        <w:spacing w:after="0" w:line="315" w:lineRule="atLeast"/>
        <w:ind w:firstLine="645"/>
        <w:rPr>
          <w:rFonts w:hint="eastAsia" w:ascii="仿宋" w:hAnsi="仿宋" w:eastAsia="仿宋" w:cs="宋体"/>
          <w:color w:val="000000"/>
          <w:sz w:val="32"/>
          <w:szCs w:val="32"/>
        </w:rPr>
      </w:pPr>
      <w:r>
        <w:rPr>
          <w:rFonts w:hint="eastAsia" w:ascii="仿宋" w:hAnsi="仿宋" w:eastAsia="仿宋" w:cs="宋体"/>
          <w:color w:val="000000"/>
          <w:sz w:val="32"/>
          <w:szCs w:val="32"/>
        </w:rPr>
        <w:t>4、不接受联合体报名。</w:t>
      </w:r>
    </w:p>
    <w:p w14:paraId="5C9AE309">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仿宋" w:hAnsi="仿宋" w:eastAsia="仿宋" w:cs="宋体"/>
          <w:color w:val="000000"/>
          <w:sz w:val="32"/>
          <w:szCs w:val="32"/>
        </w:rPr>
      </w:pPr>
      <w:r>
        <w:rPr>
          <w:rFonts w:hint="eastAsia" w:ascii="仿宋" w:hAnsi="仿宋" w:eastAsia="仿宋" w:cs="宋体"/>
          <w:color w:val="000000"/>
          <w:sz w:val="32"/>
          <w:szCs w:val="32"/>
        </w:rPr>
        <w:t>5、单位负责人为同一人或者存在直接控股、管理关系的不同供应商，不得同时参加本采购项目响应。</w:t>
      </w:r>
    </w:p>
    <w:p w14:paraId="4A533F23">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黑体" w:hAnsi="黑体" w:eastAsia="黑体" w:cs="黑体"/>
          <w:b/>
          <w:bCs/>
          <w:color w:val="000000"/>
          <w:sz w:val="32"/>
          <w:szCs w:val="32"/>
          <w:highlight w:val="none"/>
          <w:lang w:val="en-US" w:eastAsia="zh-CN"/>
        </w:rPr>
      </w:pPr>
      <w:r>
        <w:rPr>
          <w:rFonts w:hint="eastAsia" w:ascii="黑体" w:hAnsi="黑体" w:eastAsia="黑体" w:cs="黑体"/>
          <w:b/>
          <w:bCs/>
          <w:color w:val="000000"/>
          <w:sz w:val="32"/>
          <w:szCs w:val="32"/>
          <w:highlight w:val="none"/>
          <w:lang w:val="en-US" w:eastAsia="zh-CN"/>
        </w:rPr>
        <w:t>三、服务范围及内容</w:t>
      </w:r>
    </w:p>
    <w:p w14:paraId="27338527">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（1）服务范围</w:t>
      </w:r>
    </w:p>
    <w:p w14:paraId="560E47D2">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门诊挂号系统、门诊收费系统、门诊药房系统、住院收费系统、门诊医生站、住院医生站、住院电子病历系统、住院药房系统、住院病房系统、入院登记系统、医技登记系统、药库系统、材料库系统、病案接口管理系统、LIS系统、PACS接口、医保平台接口、公众号接口、电子发票系统接口、检验及体检系统、医保控费系统。</w:t>
      </w:r>
    </w:p>
    <w:p w14:paraId="7DE17402">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（2）运维服务内容</w:t>
      </w:r>
    </w:p>
    <w:tbl>
      <w:tblPr>
        <w:tblStyle w:val="5"/>
        <w:tblpPr w:leftFromText="180" w:rightFromText="180" w:vertAnchor="text" w:horzAnchor="page" w:tblpX="1452" w:tblpY="677"/>
        <w:tblOverlap w:val="never"/>
        <w:tblW w:w="9084" w:type="dxa"/>
        <w:tblInd w:w="0" w:type="dxa"/>
        <w:tblLayout w:type="fixed"/>
        <w:tblCellMar>
          <w:top w:w="0" w:type="dxa"/>
          <w:left w:w="28" w:type="dxa"/>
          <w:bottom w:w="0" w:type="dxa"/>
          <w:right w:w="28" w:type="dxa"/>
        </w:tblCellMar>
      </w:tblPr>
      <w:tblGrid>
        <w:gridCol w:w="1056"/>
        <w:gridCol w:w="4882"/>
        <w:gridCol w:w="1473"/>
        <w:gridCol w:w="1673"/>
      </w:tblGrid>
      <w:tr w14:paraId="189F4FD6">
        <w:tblPrEx>
          <w:tblCellMar>
            <w:top w:w="0" w:type="dxa"/>
            <w:left w:w="28" w:type="dxa"/>
            <w:bottom w:w="0" w:type="dxa"/>
            <w:right w:w="28" w:type="dxa"/>
          </w:tblCellMar>
        </w:tblPrEx>
        <w:trPr>
          <w:trHeight w:val="458" w:hRule="atLeast"/>
        </w:trPr>
        <w:tc>
          <w:tcPr>
            <w:tcW w:w="1056" w:type="dxa"/>
            <w:tcBorders>
              <w:top w:val="single" w:color="000000" w:sz="12" w:space="0"/>
              <w:left w:val="single" w:color="auto" w:sz="4" w:space="0"/>
              <w:bottom w:val="nil"/>
              <w:right w:val="single" w:color="auto" w:sz="4" w:space="0"/>
            </w:tcBorders>
            <w:vAlign w:val="center"/>
          </w:tcPr>
          <w:p w14:paraId="6B48EE48">
            <w:pPr>
              <w:spacing w:line="360" w:lineRule="auto"/>
              <w:jc w:val="center"/>
              <w:rPr>
                <w:rFonts w:hint="eastAsia" w:asciiTheme="minorEastAsia" w:hAnsiTheme="minorEastAsia" w:eastAsiaTheme="minorEastAsia"/>
                <w:b/>
                <w:sz w:val="22"/>
                <w:szCs w:val="21"/>
              </w:rPr>
            </w:pPr>
            <w:r>
              <w:rPr>
                <w:rFonts w:hint="eastAsia" w:asciiTheme="minorEastAsia" w:hAnsiTheme="minorEastAsia" w:eastAsiaTheme="minorEastAsia"/>
                <w:b/>
                <w:sz w:val="22"/>
                <w:szCs w:val="21"/>
              </w:rPr>
              <w:t>服务项目</w:t>
            </w:r>
          </w:p>
        </w:tc>
        <w:tc>
          <w:tcPr>
            <w:tcW w:w="4882" w:type="dxa"/>
            <w:tcBorders>
              <w:top w:val="single" w:color="000000" w:sz="12" w:space="0"/>
              <w:left w:val="single" w:color="000000" w:sz="6" w:space="0"/>
              <w:bottom w:val="nil"/>
              <w:right w:val="single" w:color="000000" w:sz="6" w:space="0"/>
            </w:tcBorders>
            <w:vAlign w:val="center"/>
          </w:tcPr>
          <w:p w14:paraId="2C830B27">
            <w:pPr>
              <w:spacing w:line="360" w:lineRule="auto"/>
              <w:jc w:val="center"/>
              <w:rPr>
                <w:rFonts w:hint="eastAsia" w:asciiTheme="minorEastAsia" w:hAnsiTheme="minorEastAsia" w:eastAsiaTheme="minorEastAsia"/>
                <w:b/>
                <w:sz w:val="22"/>
                <w:szCs w:val="21"/>
              </w:rPr>
            </w:pPr>
            <w:r>
              <w:rPr>
                <w:rFonts w:hint="eastAsia" w:asciiTheme="minorEastAsia" w:hAnsiTheme="minorEastAsia" w:eastAsiaTheme="minorEastAsia"/>
                <w:b/>
                <w:sz w:val="22"/>
                <w:szCs w:val="21"/>
              </w:rPr>
              <w:t>服务内容</w:t>
            </w:r>
          </w:p>
        </w:tc>
        <w:tc>
          <w:tcPr>
            <w:tcW w:w="1473" w:type="dxa"/>
            <w:tcBorders>
              <w:top w:val="single" w:color="000000" w:sz="12" w:space="0"/>
              <w:left w:val="single" w:color="000000" w:sz="6" w:space="0"/>
              <w:bottom w:val="nil"/>
              <w:right w:val="single" w:color="auto" w:sz="4" w:space="0"/>
            </w:tcBorders>
            <w:vAlign w:val="center"/>
          </w:tcPr>
          <w:p w14:paraId="114DB223">
            <w:pPr>
              <w:spacing w:line="360" w:lineRule="auto"/>
              <w:jc w:val="center"/>
              <w:rPr>
                <w:rFonts w:hint="default" w:asciiTheme="minorEastAsia" w:hAnsiTheme="minorEastAsia" w:eastAsiaTheme="minorEastAsia"/>
                <w:b/>
                <w:sz w:val="22"/>
                <w:szCs w:val="21"/>
                <w:lang w:val="en-US" w:eastAsia="zh-CN"/>
              </w:rPr>
            </w:pPr>
            <w:r>
              <w:rPr>
                <w:rFonts w:hint="eastAsia" w:asciiTheme="minorEastAsia" w:hAnsiTheme="minorEastAsia" w:eastAsiaTheme="minorEastAsia"/>
                <w:b/>
                <w:sz w:val="22"/>
                <w:szCs w:val="21"/>
                <w:lang w:val="en-US" w:eastAsia="zh-CN"/>
              </w:rPr>
              <w:t>服务方式</w:t>
            </w:r>
          </w:p>
        </w:tc>
        <w:tc>
          <w:tcPr>
            <w:tcW w:w="1673" w:type="dxa"/>
            <w:tcBorders>
              <w:top w:val="single" w:color="000000" w:sz="12" w:space="0"/>
              <w:left w:val="single" w:color="000000" w:sz="6" w:space="0"/>
              <w:bottom w:val="nil"/>
              <w:right w:val="single" w:color="auto" w:sz="4" w:space="0"/>
            </w:tcBorders>
            <w:vAlign w:val="center"/>
          </w:tcPr>
          <w:p w14:paraId="61DD00D0">
            <w:pPr>
              <w:spacing w:line="360" w:lineRule="auto"/>
              <w:jc w:val="center"/>
              <w:rPr>
                <w:rFonts w:hint="eastAsia" w:asciiTheme="minorEastAsia" w:hAnsiTheme="minorEastAsia" w:eastAsiaTheme="minorEastAsia"/>
                <w:b/>
                <w:sz w:val="22"/>
                <w:szCs w:val="21"/>
              </w:rPr>
            </w:pPr>
            <w:r>
              <w:rPr>
                <w:rFonts w:hint="eastAsia" w:asciiTheme="minorEastAsia" w:hAnsiTheme="minorEastAsia" w:eastAsiaTheme="minorEastAsia"/>
                <w:b/>
                <w:sz w:val="22"/>
                <w:szCs w:val="21"/>
              </w:rPr>
              <w:t>响应时间</w:t>
            </w:r>
          </w:p>
        </w:tc>
      </w:tr>
      <w:tr w14:paraId="129DB28C">
        <w:tblPrEx>
          <w:tblCellMar>
            <w:top w:w="0" w:type="dxa"/>
            <w:left w:w="28" w:type="dxa"/>
            <w:bottom w:w="0" w:type="dxa"/>
            <w:right w:w="28" w:type="dxa"/>
          </w:tblCellMar>
        </w:tblPrEx>
        <w:trPr>
          <w:trHeight w:val="1565" w:hRule="atLeast"/>
        </w:trPr>
        <w:tc>
          <w:tcPr>
            <w:tcW w:w="1056" w:type="dxa"/>
            <w:tcBorders>
              <w:top w:val="single" w:color="000000" w:sz="12" w:space="0"/>
              <w:left w:val="single" w:color="auto" w:sz="4" w:space="0"/>
              <w:bottom w:val="nil"/>
              <w:right w:val="single" w:color="auto" w:sz="4" w:space="0"/>
            </w:tcBorders>
            <w:vAlign w:val="center"/>
          </w:tcPr>
          <w:p w14:paraId="02F0EDFA">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咨询服务</w:t>
            </w:r>
          </w:p>
        </w:tc>
        <w:tc>
          <w:tcPr>
            <w:tcW w:w="4882" w:type="dxa"/>
            <w:tcBorders>
              <w:top w:val="single" w:color="000000" w:sz="12" w:space="0"/>
              <w:left w:val="single" w:color="000000" w:sz="6" w:space="0"/>
              <w:bottom w:val="nil"/>
              <w:right w:val="single" w:color="000000" w:sz="6" w:space="0"/>
            </w:tcBorders>
            <w:vAlign w:val="center"/>
          </w:tcPr>
          <w:p w14:paraId="4F70D7AD">
            <w:pPr>
              <w:spacing w:line="320" w:lineRule="exact"/>
              <w:ind w:firstLine="440" w:firstLineChars="200"/>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软件功能的应用咨询。</w:t>
            </w:r>
          </w:p>
        </w:tc>
        <w:tc>
          <w:tcPr>
            <w:tcW w:w="1473" w:type="dxa"/>
            <w:tcBorders>
              <w:top w:val="single" w:color="000000" w:sz="12" w:space="0"/>
              <w:left w:val="single" w:color="000000" w:sz="6" w:space="0"/>
              <w:bottom w:val="nil"/>
              <w:right w:val="single" w:color="000000" w:sz="6" w:space="0"/>
            </w:tcBorders>
            <w:vAlign w:val="center"/>
          </w:tcPr>
          <w:p w14:paraId="0FFF620A">
            <w:pPr>
              <w:spacing w:line="320" w:lineRule="exact"/>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电话、电子邮箱、网络远程、QQ、现场</w:t>
            </w:r>
          </w:p>
        </w:tc>
        <w:tc>
          <w:tcPr>
            <w:tcW w:w="1673" w:type="dxa"/>
            <w:tcBorders>
              <w:top w:val="single" w:color="000000" w:sz="12" w:space="0"/>
              <w:left w:val="single" w:color="000000" w:sz="6" w:space="0"/>
              <w:bottom w:val="nil"/>
              <w:right w:val="single" w:color="000000" w:sz="6" w:space="0"/>
            </w:tcBorders>
            <w:vAlign w:val="center"/>
          </w:tcPr>
          <w:p w14:paraId="207224DE">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2小时内响应</w:t>
            </w:r>
          </w:p>
        </w:tc>
      </w:tr>
      <w:tr w14:paraId="12CF3125">
        <w:tblPrEx>
          <w:tblCellMar>
            <w:top w:w="0" w:type="dxa"/>
            <w:left w:w="28" w:type="dxa"/>
            <w:bottom w:w="0" w:type="dxa"/>
            <w:right w:w="28" w:type="dxa"/>
          </w:tblCellMar>
        </w:tblPrEx>
        <w:trPr>
          <w:trHeight w:val="1276" w:hRule="atLeast"/>
        </w:trPr>
        <w:tc>
          <w:tcPr>
            <w:tcW w:w="1056" w:type="dxa"/>
            <w:tcBorders>
              <w:top w:val="single" w:color="000000" w:sz="12" w:space="0"/>
              <w:left w:val="single" w:color="auto" w:sz="4" w:space="0"/>
              <w:bottom w:val="nil"/>
              <w:right w:val="single" w:color="auto" w:sz="4" w:space="0"/>
            </w:tcBorders>
            <w:vAlign w:val="center"/>
          </w:tcPr>
          <w:p w14:paraId="52792BF0">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日常维护</w:t>
            </w:r>
          </w:p>
        </w:tc>
        <w:tc>
          <w:tcPr>
            <w:tcW w:w="4882" w:type="dxa"/>
            <w:tcBorders>
              <w:top w:val="single" w:color="000000" w:sz="12" w:space="0"/>
              <w:left w:val="single" w:color="000000" w:sz="6" w:space="0"/>
              <w:bottom w:val="nil"/>
              <w:right w:val="single" w:color="000000" w:sz="6" w:space="0"/>
            </w:tcBorders>
            <w:vAlign w:val="center"/>
          </w:tcPr>
          <w:p w14:paraId="4B0FAE6E">
            <w:pPr>
              <w:spacing w:line="320" w:lineRule="exact"/>
              <w:ind w:firstLine="440" w:firstLineChars="200"/>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包括系统操作指导、因系统缺陷导致的各种BUG的修复、因误操作导致的数据错误维护等等；</w:t>
            </w:r>
          </w:p>
        </w:tc>
        <w:tc>
          <w:tcPr>
            <w:tcW w:w="1473" w:type="dxa"/>
            <w:tcBorders>
              <w:top w:val="single" w:color="000000" w:sz="12" w:space="0"/>
              <w:left w:val="single" w:color="000000" w:sz="6" w:space="0"/>
              <w:bottom w:val="nil"/>
              <w:right w:val="single" w:color="000000" w:sz="6" w:space="0"/>
            </w:tcBorders>
            <w:vAlign w:val="center"/>
          </w:tcPr>
          <w:p w14:paraId="0705A1D6">
            <w:pPr>
              <w:spacing w:line="320" w:lineRule="exact"/>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电话、电子邮箱、网络远程、QQ、现场</w:t>
            </w:r>
          </w:p>
        </w:tc>
        <w:tc>
          <w:tcPr>
            <w:tcW w:w="1673" w:type="dxa"/>
            <w:tcBorders>
              <w:top w:val="single" w:color="000000" w:sz="12" w:space="0"/>
              <w:left w:val="single" w:color="000000" w:sz="6" w:space="0"/>
              <w:bottom w:val="nil"/>
              <w:right w:val="single" w:color="000000" w:sz="6" w:space="0"/>
            </w:tcBorders>
            <w:vAlign w:val="center"/>
          </w:tcPr>
          <w:p w14:paraId="2EFD6C0F">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2小时内响应</w:t>
            </w:r>
          </w:p>
        </w:tc>
      </w:tr>
      <w:tr w14:paraId="0775B680">
        <w:tblPrEx>
          <w:tblCellMar>
            <w:top w:w="0" w:type="dxa"/>
            <w:left w:w="28" w:type="dxa"/>
            <w:bottom w:w="0" w:type="dxa"/>
            <w:right w:w="28" w:type="dxa"/>
          </w:tblCellMar>
        </w:tblPrEx>
        <w:trPr>
          <w:trHeight w:val="528" w:hRule="atLeast"/>
        </w:trPr>
        <w:tc>
          <w:tcPr>
            <w:tcW w:w="1056" w:type="dxa"/>
            <w:tcBorders>
              <w:top w:val="single" w:color="000000" w:sz="12" w:space="0"/>
              <w:left w:val="single" w:color="auto" w:sz="4" w:space="0"/>
              <w:bottom w:val="nil"/>
              <w:right w:val="single" w:color="auto" w:sz="4" w:space="0"/>
            </w:tcBorders>
            <w:vAlign w:val="center"/>
          </w:tcPr>
          <w:p w14:paraId="5EA4FFFF">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紧急情况</w:t>
            </w:r>
          </w:p>
        </w:tc>
        <w:tc>
          <w:tcPr>
            <w:tcW w:w="4882" w:type="dxa"/>
            <w:tcBorders>
              <w:top w:val="single" w:color="000000" w:sz="12" w:space="0"/>
              <w:left w:val="single" w:color="000000" w:sz="6" w:space="0"/>
              <w:bottom w:val="nil"/>
              <w:right w:val="single" w:color="000000" w:sz="6" w:space="0"/>
            </w:tcBorders>
            <w:vAlign w:val="center"/>
          </w:tcPr>
          <w:p w14:paraId="709D6FDC">
            <w:pPr>
              <w:spacing w:line="320" w:lineRule="exact"/>
              <w:ind w:firstLine="440" w:firstLineChars="200"/>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医院遇有突发紧急情况需要现场处理的</w:t>
            </w:r>
          </w:p>
        </w:tc>
        <w:tc>
          <w:tcPr>
            <w:tcW w:w="1473" w:type="dxa"/>
            <w:tcBorders>
              <w:top w:val="single" w:color="000000" w:sz="12" w:space="0"/>
              <w:left w:val="single" w:color="000000" w:sz="6" w:space="0"/>
              <w:bottom w:val="nil"/>
              <w:right w:val="single" w:color="000000" w:sz="6" w:space="0"/>
            </w:tcBorders>
            <w:vAlign w:val="center"/>
          </w:tcPr>
          <w:p w14:paraId="774C9BAC">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现场处理</w:t>
            </w:r>
          </w:p>
        </w:tc>
        <w:tc>
          <w:tcPr>
            <w:tcW w:w="1673" w:type="dxa"/>
            <w:tcBorders>
              <w:top w:val="single" w:color="000000" w:sz="12" w:space="0"/>
              <w:left w:val="single" w:color="000000" w:sz="6" w:space="0"/>
              <w:bottom w:val="nil"/>
              <w:right w:val="single" w:color="000000" w:sz="6" w:space="0"/>
            </w:tcBorders>
            <w:vAlign w:val="center"/>
          </w:tcPr>
          <w:p w14:paraId="680751A4">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2小时内响应</w:t>
            </w:r>
          </w:p>
        </w:tc>
      </w:tr>
      <w:tr w14:paraId="42E7FC23">
        <w:tblPrEx>
          <w:tblCellMar>
            <w:top w:w="0" w:type="dxa"/>
            <w:left w:w="28" w:type="dxa"/>
            <w:bottom w:w="0" w:type="dxa"/>
            <w:right w:w="28" w:type="dxa"/>
          </w:tblCellMar>
        </w:tblPrEx>
        <w:trPr>
          <w:trHeight w:val="1226" w:hRule="atLeast"/>
        </w:trPr>
        <w:tc>
          <w:tcPr>
            <w:tcW w:w="1056" w:type="dxa"/>
            <w:tcBorders>
              <w:top w:val="single" w:color="000000" w:sz="12" w:space="0"/>
              <w:left w:val="single" w:color="auto" w:sz="4" w:space="0"/>
              <w:bottom w:val="single" w:color="000000" w:sz="12" w:space="0"/>
              <w:right w:val="single" w:color="auto" w:sz="4" w:space="0"/>
            </w:tcBorders>
            <w:vAlign w:val="center"/>
          </w:tcPr>
          <w:p w14:paraId="37AF333B">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需求变更</w:t>
            </w:r>
          </w:p>
        </w:tc>
        <w:tc>
          <w:tcPr>
            <w:tcW w:w="4882" w:type="dxa"/>
            <w:tcBorders>
              <w:top w:val="single" w:color="000000" w:sz="12" w:space="0"/>
              <w:left w:val="single" w:color="000000" w:sz="6" w:space="0"/>
              <w:bottom w:val="single" w:color="000000" w:sz="12" w:space="0"/>
              <w:right w:val="single" w:color="000000" w:sz="6" w:space="0"/>
            </w:tcBorders>
            <w:vAlign w:val="center"/>
          </w:tcPr>
          <w:p w14:paraId="4C57D092">
            <w:pPr>
              <w:spacing w:line="320" w:lineRule="exact"/>
              <w:ind w:firstLine="440" w:firstLineChars="200"/>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已应用模块范围内的功能需求调整、修改（不包括涉及系统整体结构及模块结构改变的需求</w:t>
            </w:r>
          </w:p>
        </w:tc>
        <w:tc>
          <w:tcPr>
            <w:tcW w:w="1473" w:type="dxa"/>
            <w:tcBorders>
              <w:top w:val="single" w:color="000000" w:sz="12" w:space="0"/>
              <w:left w:val="single" w:color="000000" w:sz="6" w:space="0"/>
              <w:bottom w:val="single" w:color="000000" w:sz="12" w:space="0"/>
              <w:right w:val="single" w:color="000000" w:sz="6" w:space="0"/>
            </w:tcBorders>
            <w:vAlign w:val="center"/>
          </w:tcPr>
          <w:p w14:paraId="0FD2EB51">
            <w:pPr>
              <w:spacing w:line="320" w:lineRule="exact"/>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电话、电子邮箱、网络远程、QQ、现场</w:t>
            </w:r>
          </w:p>
        </w:tc>
        <w:tc>
          <w:tcPr>
            <w:tcW w:w="1673" w:type="dxa"/>
            <w:tcBorders>
              <w:top w:val="single" w:color="000000" w:sz="12" w:space="0"/>
              <w:left w:val="single" w:color="000000" w:sz="6" w:space="0"/>
              <w:bottom w:val="single" w:color="000000" w:sz="12" w:space="0"/>
              <w:right w:val="single" w:color="000000" w:sz="6" w:space="0"/>
            </w:tcBorders>
            <w:vAlign w:val="center"/>
          </w:tcPr>
          <w:p w14:paraId="0E8D0E72">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2小时内响应</w:t>
            </w:r>
          </w:p>
        </w:tc>
      </w:tr>
      <w:tr w14:paraId="3A690767">
        <w:tblPrEx>
          <w:tblCellMar>
            <w:top w:w="0" w:type="dxa"/>
            <w:left w:w="28" w:type="dxa"/>
            <w:bottom w:w="0" w:type="dxa"/>
            <w:right w:w="28" w:type="dxa"/>
          </w:tblCellMar>
        </w:tblPrEx>
        <w:trPr>
          <w:trHeight w:val="90" w:hRule="atLeast"/>
        </w:trPr>
        <w:tc>
          <w:tcPr>
            <w:tcW w:w="1056" w:type="dxa"/>
            <w:tcBorders>
              <w:top w:val="single" w:color="000000" w:sz="12" w:space="0"/>
              <w:left w:val="single" w:color="auto" w:sz="4" w:space="0"/>
              <w:bottom w:val="single" w:color="auto" w:sz="4" w:space="0"/>
              <w:right w:val="single" w:color="auto" w:sz="4" w:space="0"/>
            </w:tcBorders>
            <w:vAlign w:val="center"/>
          </w:tcPr>
          <w:p w14:paraId="5F57301E">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数据恢复</w:t>
            </w:r>
          </w:p>
        </w:tc>
        <w:tc>
          <w:tcPr>
            <w:tcW w:w="4882" w:type="dxa"/>
            <w:tcBorders>
              <w:top w:val="single" w:color="000000" w:sz="12" w:space="0"/>
              <w:left w:val="single" w:color="000000" w:sz="6" w:space="0"/>
              <w:bottom w:val="single" w:color="auto" w:sz="4" w:space="0"/>
              <w:right w:val="single" w:color="000000" w:sz="6" w:space="0"/>
            </w:tcBorders>
            <w:vAlign w:val="center"/>
          </w:tcPr>
          <w:p w14:paraId="4653A41F">
            <w:pPr>
              <w:spacing w:line="320" w:lineRule="exact"/>
              <w:ind w:firstLine="440" w:firstLineChars="200"/>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因客户操作不当或其它原因导致病历中数据丢失，协助客户系统维护人员恢复病历数据。</w:t>
            </w:r>
          </w:p>
        </w:tc>
        <w:tc>
          <w:tcPr>
            <w:tcW w:w="1473" w:type="dxa"/>
            <w:tcBorders>
              <w:top w:val="single" w:color="000000" w:sz="12" w:space="0"/>
              <w:left w:val="single" w:color="000000" w:sz="6" w:space="0"/>
              <w:bottom w:val="single" w:color="auto" w:sz="4" w:space="0"/>
              <w:right w:val="single" w:color="000000" w:sz="6" w:space="0"/>
            </w:tcBorders>
            <w:vAlign w:val="center"/>
          </w:tcPr>
          <w:p w14:paraId="6C4D8744">
            <w:pPr>
              <w:spacing w:line="320" w:lineRule="exact"/>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电话、电子邮箱、网络远程、QQ、现场</w:t>
            </w:r>
          </w:p>
        </w:tc>
        <w:tc>
          <w:tcPr>
            <w:tcW w:w="1673" w:type="dxa"/>
            <w:tcBorders>
              <w:top w:val="single" w:color="000000" w:sz="12" w:space="0"/>
              <w:left w:val="single" w:color="000000" w:sz="6" w:space="0"/>
              <w:bottom w:val="single" w:color="auto" w:sz="4" w:space="0"/>
              <w:right w:val="single" w:color="000000" w:sz="6" w:space="0"/>
            </w:tcBorders>
            <w:vAlign w:val="center"/>
          </w:tcPr>
          <w:p w14:paraId="26BC4FDE">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2小时内响应</w:t>
            </w:r>
          </w:p>
        </w:tc>
      </w:tr>
      <w:tr w14:paraId="115BD26C">
        <w:tblPrEx>
          <w:tblCellMar>
            <w:top w:w="0" w:type="dxa"/>
            <w:left w:w="28" w:type="dxa"/>
            <w:bottom w:w="0" w:type="dxa"/>
            <w:right w:w="28" w:type="dxa"/>
          </w:tblCellMar>
        </w:tblPrEx>
        <w:trPr>
          <w:trHeight w:val="966" w:hRule="atLeast"/>
        </w:trPr>
        <w:tc>
          <w:tcPr>
            <w:tcW w:w="1056" w:type="dxa"/>
            <w:tcBorders>
              <w:top w:val="single" w:color="auto" w:sz="4" w:space="0"/>
              <w:left w:val="single" w:color="auto" w:sz="4" w:space="0"/>
              <w:bottom w:val="single" w:color="auto" w:sz="4" w:space="0"/>
              <w:right w:val="single" w:color="auto" w:sz="4" w:space="0"/>
            </w:tcBorders>
            <w:vAlign w:val="center"/>
          </w:tcPr>
          <w:p w14:paraId="2E345108">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数据调整</w:t>
            </w:r>
          </w:p>
        </w:tc>
        <w:tc>
          <w:tcPr>
            <w:tcW w:w="4882" w:type="dxa"/>
            <w:tcBorders>
              <w:top w:val="single" w:color="auto" w:sz="4" w:space="0"/>
              <w:left w:val="single" w:color="000000" w:sz="6" w:space="0"/>
              <w:bottom w:val="single" w:color="auto" w:sz="4" w:space="0"/>
              <w:right w:val="single" w:color="000000" w:sz="6" w:space="0"/>
            </w:tcBorders>
            <w:vAlign w:val="center"/>
          </w:tcPr>
          <w:p w14:paraId="109E0542">
            <w:pPr>
              <w:spacing w:line="320" w:lineRule="exact"/>
              <w:ind w:firstLine="440" w:firstLineChars="200"/>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因客户操作不当或其它原因造成患者数据出现部分或全部错误，协助客户系统维护人员进行数据调整。</w:t>
            </w:r>
          </w:p>
        </w:tc>
        <w:tc>
          <w:tcPr>
            <w:tcW w:w="1473" w:type="dxa"/>
            <w:tcBorders>
              <w:top w:val="single" w:color="auto" w:sz="4" w:space="0"/>
              <w:left w:val="single" w:color="000000" w:sz="6" w:space="0"/>
              <w:bottom w:val="single" w:color="auto" w:sz="4" w:space="0"/>
              <w:right w:val="single" w:color="000000" w:sz="6" w:space="0"/>
            </w:tcBorders>
            <w:vAlign w:val="center"/>
          </w:tcPr>
          <w:p w14:paraId="50066BBC">
            <w:pPr>
              <w:spacing w:line="320" w:lineRule="exact"/>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电话、电子邮箱、网络远程、QQ、现场</w:t>
            </w:r>
          </w:p>
        </w:tc>
        <w:tc>
          <w:tcPr>
            <w:tcW w:w="1673" w:type="dxa"/>
            <w:tcBorders>
              <w:top w:val="single" w:color="auto" w:sz="4" w:space="0"/>
              <w:left w:val="single" w:color="000000" w:sz="6" w:space="0"/>
              <w:bottom w:val="single" w:color="auto" w:sz="4" w:space="0"/>
              <w:right w:val="single" w:color="000000" w:sz="6" w:space="0"/>
            </w:tcBorders>
            <w:vAlign w:val="center"/>
          </w:tcPr>
          <w:p w14:paraId="4C47A6A5">
            <w:pPr>
              <w:spacing w:line="320" w:lineRule="exact"/>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2小时内响应</w:t>
            </w:r>
          </w:p>
        </w:tc>
      </w:tr>
    </w:tbl>
    <w:p w14:paraId="2EE788B2">
      <w:pPr>
        <w:keepNext w:val="0"/>
        <w:keepLines w:val="0"/>
        <w:pageBreakBefore w:val="0"/>
        <w:widowControl/>
        <w:numPr>
          <w:ilvl w:val="0"/>
          <w:numId w:val="0"/>
        </w:numPr>
        <w:kinsoku/>
        <w:wordWrap/>
        <w:overflowPunct/>
        <w:topLinePunct w:val="0"/>
        <w:autoSpaceDE/>
        <w:autoSpaceDN/>
        <w:bidi w:val="0"/>
        <w:adjustRightInd/>
        <w:snapToGrid/>
        <w:spacing w:after="0" w:line="460" w:lineRule="exact"/>
        <w:textAlignment w:val="auto"/>
        <w:rPr>
          <w:rFonts w:hint="eastAsia" w:ascii="仿宋" w:hAnsi="仿宋" w:eastAsia="仿宋"/>
          <w:color w:val="FF0000"/>
          <w:sz w:val="32"/>
          <w:szCs w:val="32"/>
          <w:highlight w:val="none"/>
          <w:lang w:val="en-US" w:eastAsia="zh-CN"/>
        </w:rPr>
      </w:pPr>
    </w:p>
    <w:p w14:paraId="52B4BEDF">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643" w:firstLineChars="2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四、运维服务要求</w:t>
      </w:r>
    </w:p>
    <w:p w14:paraId="28E37CC1">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1、日常售后服务提供7×24小时电话和远程服务，电话、远程服务5分钟内响应；上门服务10分钟内响应，3小时内到达医院。</w:t>
      </w:r>
    </w:p>
    <w:p w14:paraId="69A60318">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为保障售后服务质量，供应商须在本省内具备售后服务机构，供应商已在本省内具备售后服务机构则提供组织机构代码证，税务登记证等材料证明。供应商在本省内不具备售后服务机构则承诺成交后在本省建立售后服务机构。</w:t>
      </w:r>
    </w:p>
    <w:p w14:paraId="79286185">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3、提供HIS的日常开发运维服务、数据处理平台以及日常相关软件、针对产品操作错误及软件故障进行修复处理、硬件故障申报、登记、处理记录运维平台。</w:t>
      </w:r>
    </w:p>
    <w:p w14:paraId="289CCDD4">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660" w:leftChars="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▲4、信息系统已开发使用的接口，在维护期内供应商都进行无偿维护。同时因为供应商软件升级、更新或国家政策调整引发的接口开发工作，应无偿进行开发或无偿配合接口开发工作。</w:t>
      </w:r>
    </w:p>
    <w:p w14:paraId="536D8D32">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643" w:firstLineChars="2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 xml:space="preserve">五、结算方式 </w:t>
      </w:r>
    </w:p>
    <w:p w14:paraId="4397B56E">
      <w:pPr>
        <w:keepNext w:val="0"/>
        <w:keepLines w:val="0"/>
        <w:pageBreakBefore w:val="0"/>
        <w:widowControl/>
        <w:numPr>
          <w:ilvl w:val="-1"/>
          <w:numId w:val="0"/>
        </w:numPr>
        <w:kinsoku/>
        <w:wordWrap/>
        <w:overflowPunct/>
        <w:topLinePunct w:val="0"/>
        <w:autoSpaceDE/>
        <w:autoSpaceDN/>
        <w:bidi w:val="0"/>
        <w:adjustRightInd/>
        <w:snapToGrid/>
        <w:spacing w:after="0" w:line="460" w:lineRule="exact"/>
        <w:ind w:firstLine="640" w:firstLineChars="200"/>
        <w:textAlignment w:val="auto"/>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每半年度运维服务期满，经双方验收确认，乙方提供运维服务清单和等额发票，甲方向乙方支付运维服务费用。</w:t>
      </w:r>
    </w:p>
    <w:p w14:paraId="40D4D5F0">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643" w:firstLineChars="2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六、报价要求</w:t>
      </w:r>
    </w:p>
    <w:p w14:paraId="059B08AA">
      <w:pPr>
        <w:keepNext w:val="0"/>
        <w:keepLines w:val="0"/>
        <w:pageBreakBefore w:val="0"/>
        <w:widowControl/>
        <w:numPr>
          <w:ilvl w:val="-1"/>
          <w:numId w:val="0"/>
        </w:numPr>
        <w:kinsoku/>
        <w:wordWrap/>
        <w:overflowPunct/>
        <w:topLinePunct w:val="0"/>
        <w:autoSpaceDE/>
        <w:autoSpaceDN/>
        <w:bidi w:val="0"/>
        <w:adjustRightInd/>
        <w:snapToGrid/>
        <w:spacing w:after="0" w:line="460" w:lineRule="exact"/>
        <w:ind w:firstLine="640" w:firstLineChars="200"/>
        <w:textAlignment w:val="auto"/>
        <w:rPr>
          <w:rFonts w:hint="eastAsia" w:ascii="黑体" w:hAnsi="黑体" w:eastAsia="黑体" w:cs="黑体"/>
          <w:b/>
          <w:bCs/>
          <w:color w:val="000000"/>
          <w:sz w:val="32"/>
          <w:szCs w:val="32"/>
          <w:lang w:val="en-US" w:eastAsia="zh-CN"/>
        </w:rPr>
      </w:pPr>
      <w:r>
        <w:rPr>
          <w:rFonts w:hint="eastAsia" w:ascii="仿宋" w:hAnsi="仿宋" w:eastAsia="仿宋" w:cs="宋体"/>
          <w:color w:val="auto"/>
          <w:sz w:val="32"/>
          <w:szCs w:val="32"/>
          <w:lang w:val="en-US" w:eastAsia="zh-CN"/>
        </w:rPr>
        <w:t>报价采取含税总价包干的形式，总报价应包括各种人力成本、税费、交通及合同实施过程中的所有费用。</w:t>
      </w:r>
    </w:p>
    <w:p w14:paraId="676AB2FE">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firstLine="643" w:firstLineChars="200"/>
        <w:textAlignment w:val="auto"/>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七、服务年限：一年</w:t>
      </w:r>
    </w:p>
    <w:p w14:paraId="0F02DA54">
      <w:pPr>
        <w:keepNext w:val="0"/>
        <w:keepLines w:val="0"/>
        <w:pageBreakBefore w:val="0"/>
        <w:widowControl/>
        <w:numPr>
          <w:ilvl w:val="-1"/>
          <w:numId w:val="0"/>
        </w:numPr>
        <w:kinsoku/>
        <w:wordWrap/>
        <w:overflowPunct/>
        <w:topLinePunct w:val="0"/>
        <w:autoSpaceDE/>
        <w:autoSpaceDN/>
        <w:bidi w:val="0"/>
        <w:adjustRightInd/>
        <w:snapToGrid/>
        <w:spacing w:after="0" w:line="460" w:lineRule="exact"/>
        <w:ind w:firstLine="0" w:firstLineChars="0"/>
        <w:textAlignment w:val="auto"/>
        <w:rPr>
          <w:rFonts w:hint="eastAsia" w:ascii="黑体" w:hAnsi="黑体" w:eastAsia="黑体" w:cs="黑体"/>
          <w:b/>
          <w:bCs/>
          <w:color w:val="000000"/>
          <w:sz w:val="32"/>
          <w:szCs w:val="32"/>
          <w:lang w:val="en-US" w:eastAsia="zh-CN"/>
        </w:rPr>
      </w:pPr>
    </w:p>
    <w:p w14:paraId="7581E5DD">
      <w:pPr>
        <w:pStyle w:val="7"/>
        <w:keepNext w:val="0"/>
        <w:keepLines w:val="0"/>
        <w:pageBreakBefore w:val="0"/>
        <w:widowControl/>
        <w:kinsoku/>
        <w:wordWrap/>
        <w:overflowPunct/>
        <w:topLinePunct w:val="0"/>
        <w:autoSpaceDE/>
        <w:autoSpaceDN/>
        <w:bidi w:val="0"/>
        <w:spacing w:after="0" w:line="240" w:lineRule="auto"/>
        <w:ind w:left="720" w:firstLine="0" w:firstLineChars="0"/>
        <w:textAlignment w:val="auto"/>
        <w:rPr>
          <w:rFonts w:ascii="仿宋" w:hAnsi="仿宋" w:eastAsia="仿宋"/>
          <w:sz w:val="32"/>
          <w:szCs w:val="32"/>
        </w:rPr>
      </w:pPr>
    </w:p>
    <w:sectPr>
      <w:pgSz w:w="11906" w:h="16838"/>
      <w:pgMar w:top="1440" w:right="1417" w:bottom="1440"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1DB28"/>
    <w:multiLevelType w:val="singleLevel"/>
    <w:tmpl w:val="5391DB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ZTc1M2M2YTQzMGNkMTkxYjhhZTE2ZmZjZDJmNjkifQ=="/>
    <w:docVar w:name="KSO_WPS_MARK_KEY" w:val="3f61cbb7-d1b7-4c0e-9d42-d67856a61739"/>
  </w:docVars>
  <w:rsids>
    <w:rsidRoot w:val="00D31D50"/>
    <w:rsid w:val="000739A0"/>
    <w:rsid w:val="0012616C"/>
    <w:rsid w:val="001E3B65"/>
    <w:rsid w:val="00246A2D"/>
    <w:rsid w:val="002E1ED1"/>
    <w:rsid w:val="00323B43"/>
    <w:rsid w:val="00356FDD"/>
    <w:rsid w:val="00364E91"/>
    <w:rsid w:val="00392BB2"/>
    <w:rsid w:val="003D37D8"/>
    <w:rsid w:val="00426133"/>
    <w:rsid w:val="004358AB"/>
    <w:rsid w:val="005723E3"/>
    <w:rsid w:val="005C3500"/>
    <w:rsid w:val="005E6A1A"/>
    <w:rsid w:val="00612914"/>
    <w:rsid w:val="00621C13"/>
    <w:rsid w:val="007A1FFC"/>
    <w:rsid w:val="008139F3"/>
    <w:rsid w:val="00840817"/>
    <w:rsid w:val="008B7726"/>
    <w:rsid w:val="009C3ED9"/>
    <w:rsid w:val="00A95294"/>
    <w:rsid w:val="00B42D1E"/>
    <w:rsid w:val="00B66736"/>
    <w:rsid w:val="00C64027"/>
    <w:rsid w:val="00C86260"/>
    <w:rsid w:val="00D31D50"/>
    <w:rsid w:val="00E41F3F"/>
    <w:rsid w:val="05215177"/>
    <w:rsid w:val="05DB5448"/>
    <w:rsid w:val="10866E5B"/>
    <w:rsid w:val="16F0332F"/>
    <w:rsid w:val="22424EDB"/>
    <w:rsid w:val="22B24A96"/>
    <w:rsid w:val="27B142BC"/>
    <w:rsid w:val="29180493"/>
    <w:rsid w:val="306B53B0"/>
    <w:rsid w:val="336B2EA4"/>
    <w:rsid w:val="3AE233EA"/>
    <w:rsid w:val="40520DD1"/>
    <w:rsid w:val="40C673EA"/>
    <w:rsid w:val="41CD53C4"/>
    <w:rsid w:val="42B92207"/>
    <w:rsid w:val="44FF5255"/>
    <w:rsid w:val="4DE55236"/>
    <w:rsid w:val="5A9401CD"/>
    <w:rsid w:val="5B655E6D"/>
    <w:rsid w:val="6344708E"/>
    <w:rsid w:val="6A854F52"/>
    <w:rsid w:val="6AF14C48"/>
    <w:rsid w:val="6C8A7920"/>
    <w:rsid w:val="6CC854E8"/>
    <w:rsid w:val="79CD2161"/>
    <w:rsid w:val="7ACB5E92"/>
    <w:rsid w:val="7C0047A3"/>
    <w:rsid w:val="7ECD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pPr>
      <w:spacing w:after="0"/>
    </w:pPr>
    <w:rPr>
      <w:sz w:val="18"/>
      <w:szCs w:val="18"/>
    </w:r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List Paragraph"/>
    <w:basedOn w:val="1"/>
    <w:qFormat/>
    <w:uiPriority w:val="34"/>
    <w:pPr>
      <w:ind w:firstLine="420" w:firstLineChars="200"/>
    </w:pPr>
  </w:style>
  <w:style w:type="paragraph" w:styleId="8">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9">
    <w:name w:val="页眉 Char"/>
    <w:basedOn w:val="6"/>
    <w:link w:val="4"/>
    <w:autoRedefine/>
    <w:semiHidden/>
    <w:qFormat/>
    <w:uiPriority w:val="99"/>
    <w:rPr>
      <w:rFonts w:ascii="Tahoma" w:hAnsi="Tahoma"/>
      <w:sz w:val="18"/>
      <w:szCs w:val="18"/>
    </w:rPr>
  </w:style>
  <w:style w:type="character" w:customStyle="1" w:styleId="10">
    <w:name w:val="页脚 Char"/>
    <w:basedOn w:val="6"/>
    <w:link w:val="3"/>
    <w:autoRedefine/>
    <w:semiHidden/>
    <w:qFormat/>
    <w:uiPriority w:val="99"/>
    <w:rPr>
      <w:rFonts w:ascii="Tahoma" w:hAnsi="Tahoma"/>
      <w:sz w:val="18"/>
      <w:szCs w:val="18"/>
    </w:rPr>
  </w:style>
  <w:style w:type="character" w:customStyle="1" w:styleId="11">
    <w:name w:val="批注框文本 Char"/>
    <w:basedOn w:val="6"/>
    <w:link w:val="2"/>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1189</Words>
  <Characters>1207</Characters>
  <Lines>6</Lines>
  <Paragraphs>1</Paragraphs>
  <TotalTime>4</TotalTime>
  <ScaleCrop>false</ScaleCrop>
  <LinksUpToDate>false</LinksUpToDate>
  <CharactersWithSpaces>1208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L⃫i⃫n⃫ k⃫</cp:lastModifiedBy>
  <cp:lastPrinted>2026-06-04T01:28:27Z</cp:lastPrinted>
  <dcterms:modified xsi:type="dcterms:W3CDTF">2026-06-11T02:36:07Z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8204F41B1C14439DACC9E7A47D11C2B5_13</vt:lpwstr>
  </property>
  <property fmtid="{D5CDD505-2E9C-101B-9397-08002B2CF9AE}" pid="4" name="KSOTemplateDocerSaveRecord">
    <vt:lpwstr>eyJoZGlkIjoiZWVjNTA3MzAyNzE3MTk2NmJjYzBiNGY5NmUzYzE0NmMiLCJ1c2VySWQiOiIxMDc3NzE5ODgyIn0=</vt:lpwstr>
  </property>
</Properties>
</file>