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0415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14:paraId="4888588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惠来县人民医院门诊楼一楼大堂空间设计用户需求书</w:t>
      </w:r>
    </w:p>
    <w:p w14:paraId="71A33D9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14:paraId="56DE69F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项目概况</w:t>
      </w:r>
    </w:p>
    <w:p w14:paraId="3BAA5D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198" w:leftChars="304" w:hanging="2560" w:hangingChars="8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惠来县人民医院门诊楼一楼大堂空间设计</w:t>
      </w:r>
      <w:r>
        <w:rPr>
          <w:rFonts w:hint="eastAsia" w:ascii="仿宋_GB2312" w:hAnsi="仿宋_GB2312" w:eastAsia="仿宋_GB2312" w:cs="仿宋_GB2312"/>
          <w:sz w:val="32"/>
          <w:szCs w:val="32"/>
          <w:lang w:val="en-US" w:eastAsia="zh-CN"/>
        </w:rPr>
        <w:t>项目</w:t>
      </w:r>
    </w:p>
    <w:p w14:paraId="66F8A1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198" w:leftChars="304" w:hanging="2560" w:hangingChars="8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（二）项目地点：</w:t>
      </w:r>
      <w:r>
        <w:rPr>
          <w:rFonts w:hint="eastAsia" w:ascii="仿宋_GB2312" w:hAnsi="仿宋_GB2312" w:eastAsia="仿宋_GB2312" w:cs="仿宋_GB2312"/>
          <w:sz w:val="32"/>
          <w:szCs w:val="32"/>
          <w:lang w:val="en-US" w:eastAsia="zh-CN"/>
        </w:rPr>
        <w:t>揭阳市惠来县惠城镇惠西路230号</w:t>
      </w:r>
    </w:p>
    <w:p w14:paraId="70F724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2558" w:leftChars="304" w:hanging="1920" w:hangingChars="6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（二）服务范围：</w:t>
      </w:r>
      <w:r>
        <w:rPr>
          <w:rFonts w:hint="eastAsia" w:ascii="仿宋_GB2312" w:hAnsi="仿宋_GB2312" w:eastAsia="仿宋_GB2312" w:cs="仿宋_GB2312"/>
          <w:sz w:val="32"/>
          <w:szCs w:val="32"/>
          <w:lang w:val="en-US" w:eastAsia="zh-CN"/>
        </w:rPr>
        <w:t>医院门诊楼一楼大堂和院内空间设计</w:t>
      </w:r>
    </w:p>
    <w:p w14:paraId="1D6B25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二、供应商资格</w:t>
      </w:r>
    </w:p>
    <w:p w14:paraId="351E82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必须是在中华人民共和国境内注册的具有独立承担民事责任能力的法人</w:t>
      </w:r>
      <w:r>
        <w:rPr>
          <w:rFonts w:hint="eastAsia" w:ascii="仿宋_GB2312" w:hAnsi="仿宋_GB2312" w:eastAsia="仿宋_GB2312" w:cs="仿宋_GB2312"/>
          <w:sz w:val="32"/>
          <w:szCs w:val="32"/>
          <w:lang w:val="en-US" w:eastAsia="zh-CN"/>
        </w:rPr>
        <w:t>。</w:t>
      </w:r>
    </w:p>
    <w:p w14:paraId="0C5DB0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依法取得营业执照（或事业单位法人证书，或社会团体法人登记证书，或执业许可证）、组织机构代码证和税务登记证复印件（或者“三证合一”复印件）（加盖公章）。</w:t>
      </w:r>
    </w:p>
    <w:p w14:paraId="181302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具有履行合同所必需的设备和专业技术能力。</w:t>
      </w:r>
    </w:p>
    <w:p w14:paraId="4388AA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不接受联合体报名。</w:t>
      </w:r>
    </w:p>
    <w:p w14:paraId="4355D8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单位负责人为同一人或者存在直接控股、管理关系的不同供应商，不得同时参加本采购项目响应。</w:t>
      </w:r>
    </w:p>
    <w:p w14:paraId="547B076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三、门诊楼空间设计清单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6333"/>
      </w:tblGrid>
      <w:tr w14:paraId="52A2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9" w:type="dxa"/>
            <w:vAlign w:val="center"/>
          </w:tcPr>
          <w:p w14:paraId="09EA9F6C">
            <w:pPr>
              <w:keepNext w:val="0"/>
              <w:keepLines w:val="0"/>
              <w:pageBreakBefore w:val="0"/>
              <w:widowControl w:val="0"/>
              <w:kinsoku/>
              <w:wordWrap/>
              <w:overflowPunct/>
              <w:topLinePunct w:val="0"/>
              <w:bidi w:val="0"/>
              <w:spacing w:line="520" w:lineRule="exact"/>
              <w:jc w:val="center"/>
              <w:textAlignment w:val="auto"/>
              <w:rPr>
                <w:rFonts w:ascii="微软雅黑" w:hAnsi="微软雅黑" w:eastAsia="微软雅黑" w:cs="微软雅黑"/>
                <w:b/>
                <w:bCs/>
                <w:sz w:val="20"/>
              </w:rPr>
            </w:pPr>
            <w:r>
              <w:rPr>
                <w:rFonts w:hint="eastAsia" w:ascii="微软雅黑" w:hAnsi="微软雅黑" w:eastAsia="微软雅黑" w:cs="微软雅黑"/>
                <w:b/>
                <w:bCs/>
                <w:sz w:val="20"/>
              </w:rPr>
              <w:t>A</w:t>
            </w:r>
          </w:p>
          <w:p w14:paraId="62F4CE02">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微软雅黑" w:hAnsi="微软雅黑" w:eastAsia="微软雅黑" w:cs="微软雅黑"/>
                <w:b/>
                <w:bCs/>
                <w:sz w:val="20"/>
              </w:rPr>
            </w:pPr>
            <w:r>
              <w:rPr>
                <w:rFonts w:hint="eastAsia" w:ascii="微软雅黑" w:hAnsi="微软雅黑" w:eastAsia="微软雅黑" w:cs="微软雅黑"/>
                <w:b/>
                <w:bCs/>
                <w:sz w:val="20"/>
              </w:rPr>
              <w:t>医院诊楼</w:t>
            </w:r>
          </w:p>
          <w:p w14:paraId="6016C56D">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微软雅黑" w:hAnsi="微软雅黑" w:eastAsia="微软雅黑" w:cs="微软雅黑"/>
                <w:b/>
                <w:bCs/>
                <w:sz w:val="20"/>
              </w:rPr>
            </w:pPr>
            <w:r>
              <w:rPr>
                <w:rFonts w:hint="eastAsia" w:ascii="微软雅黑" w:hAnsi="微软雅黑" w:eastAsia="微软雅黑" w:cs="微软雅黑"/>
                <w:b/>
                <w:bCs/>
                <w:sz w:val="20"/>
              </w:rPr>
              <w:t>空间设计规范</w:t>
            </w:r>
          </w:p>
          <w:p w14:paraId="64A0C7ED">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微软雅黑" w:hAnsi="微软雅黑" w:eastAsia="微软雅黑" w:cs="微软雅黑"/>
                <w:b/>
                <w:bCs/>
                <w:sz w:val="20"/>
              </w:rPr>
            </w:pPr>
          </w:p>
        </w:tc>
        <w:tc>
          <w:tcPr>
            <w:tcW w:w="6333" w:type="dxa"/>
            <w:vAlign w:val="center"/>
          </w:tcPr>
          <w:p w14:paraId="0722CD6E">
            <w:pPr>
              <w:keepNext w:val="0"/>
              <w:keepLines w:val="0"/>
              <w:pageBreakBefore w:val="0"/>
              <w:widowControl w:val="0"/>
              <w:kinsoku/>
              <w:wordWrap/>
              <w:overflowPunct/>
              <w:topLinePunct w:val="0"/>
              <w:bidi w:val="0"/>
              <w:spacing w:line="520" w:lineRule="exact"/>
              <w:textAlignment w:val="auto"/>
              <w:rPr>
                <w:rFonts w:hint="eastAsia" w:ascii="微软雅黑" w:hAnsi="微软雅黑" w:eastAsia="微软雅黑" w:cs="微软雅黑"/>
                <w:color w:val="000000"/>
                <w:kern w:val="1"/>
                <w:sz w:val="20"/>
              </w:rPr>
            </w:pPr>
            <w:r>
              <w:rPr>
                <w:rFonts w:hint="eastAsia" w:ascii="微软雅黑" w:hAnsi="微软雅黑" w:eastAsia="微软雅黑" w:cs="微软雅黑"/>
                <w:color w:val="FF9A00"/>
                <w:kern w:val="1"/>
                <w:sz w:val="20"/>
              </w:rPr>
              <w:t>ITEM0</w:t>
            </w:r>
            <w:r>
              <w:rPr>
                <w:rFonts w:ascii="微软雅黑" w:hAnsi="微软雅黑" w:eastAsia="微软雅黑" w:cs="微软雅黑"/>
                <w:color w:val="FF9A00"/>
                <w:kern w:val="1"/>
                <w:sz w:val="20"/>
              </w:rPr>
              <w:t>1</w:t>
            </w:r>
            <w:r>
              <w:rPr>
                <w:rFonts w:hint="eastAsia" w:ascii="微软雅黑" w:hAnsi="微软雅黑" w:eastAsia="微软雅黑" w:cs="微软雅黑"/>
                <w:color w:val="FF9A00"/>
                <w:kern w:val="1"/>
                <w:sz w:val="20"/>
              </w:rPr>
              <w:t xml:space="preserve"> </w:t>
            </w:r>
            <w:r>
              <w:rPr>
                <w:rFonts w:hint="eastAsia" w:ascii="微软雅黑" w:hAnsi="微软雅黑" w:eastAsia="微软雅黑" w:cs="微软雅黑"/>
                <w:color w:val="000000" w:themeColor="text1"/>
                <w:kern w:val="1"/>
                <w:sz w:val="20"/>
                <w14:textFill>
                  <w14:solidFill>
                    <w14:schemeClr w14:val="tx1"/>
                  </w14:solidFill>
                </w14:textFill>
              </w:rPr>
              <w:t>诊楼大堂功能布局与动线建议</w:t>
            </w:r>
          </w:p>
          <w:p w14:paraId="4BC711E4">
            <w:pPr>
              <w:keepNext w:val="0"/>
              <w:keepLines w:val="0"/>
              <w:pageBreakBefore w:val="0"/>
              <w:widowControl w:val="0"/>
              <w:kinsoku/>
              <w:wordWrap/>
              <w:overflowPunct/>
              <w:topLinePunct w:val="0"/>
              <w:bidi w:val="0"/>
              <w:spacing w:line="520" w:lineRule="exact"/>
              <w:textAlignment w:val="auto"/>
              <w:rPr>
                <w:rFonts w:ascii="微软雅黑" w:hAnsi="微软雅黑" w:eastAsia="微软雅黑" w:cs="微软雅黑"/>
                <w:color w:val="000000" w:themeColor="text1"/>
                <w:kern w:val="1"/>
                <w:sz w:val="20"/>
                <w14:textFill>
                  <w14:solidFill>
                    <w14:schemeClr w14:val="tx1"/>
                  </w14:solidFill>
                </w14:textFill>
              </w:rPr>
            </w:pPr>
            <w:r>
              <w:rPr>
                <w:rFonts w:hint="eastAsia" w:ascii="微软雅黑" w:hAnsi="微软雅黑" w:eastAsia="微软雅黑" w:cs="微软雅黑"/>
                <w:color w:val="FF9A00"/>
                <w:kern w:val="1"/>
                <w:sz w:val="20"/>
              </w:rPr>
              <w:t>ITEM</w:t>
            </w:r>
            <w:r>
              <w:rPr>
                <w:rFonts w:ascii="微软雅黑" w:hAnsi="微软雅黑" w:eastAsia="微软雅黑" w:cs="微软雅黑"/>
                <w:color w:val="FF9A00"/>
                <w:kern w:val="1"/>
                <w:sz w:val="20"/>
              </w:rPr>
              <w:t>02</w:t>
            </w:r>
            <w:r>
              <w:rPr>
                <w:rFonts w:hint="eastAsia" w:ascii="微软雅黑" w:hAnsi="微软雅黑" w:eastAsia="微软雅黑" w:cs="微软雅黑"/>
                <w:color w:val="FF9A00"/>
                <w:kern w:val="1"/>
                <w:sz w:val="20"/>
              </w:rPr>
              <w:t xml:space="preserve"> </w:t>
            </w:r>
            <w:r>
              <w:rPr>
                <w:rFonts w:hint="eastAsia" w:ascii="微软雅黑" w:hAnsi="微软雅黑" w:eastAsia="微软雅黑" w:cs="微软雅黑"/>
                <w:color w:val="000000" w:themeColor="text1"/>
                <w:kern w:val="1"/>
                <w:sz w:val="20"/>
                <w14:textFill>
                  <w14:solidFill>
                    <w14:schemeClr w14:val="tx1"/>
                  </w14:solidFill>
                </w14:textFill>
              </w:rPr>
              <w:t>大堂一站式服务台设计规范</w:t>
            </w:r>
          </w:p>
          <w:p w14:paraId="4CDA08D8">
            <w:pPr>
              <w:keepNext w:val="0"/>
              <w:keepLines w:val="0"/>
              <w:pageBreakBefore w:val="0"/>
              <w:widowControl w:val="0"/>
              <w:kinsoku/>
              <w:wordWrap/>
              <w:overflowPunct/>
              <w:topLinePunct w:val="0"/>
              <w:bidi w:val="0"/>
              <w:spacing w:line="520" w:lineRule="exact"/>
              <w:textAlignment w:val="auto"/>
              <w:rPr>
                <w:rFonts w:ascii="微软雅黑" w:hAnsi="微软雅黑" w:eastAsia="微软雅黑" w:cs="微软雅黑"/>
                <w:color w:val="000000" w:themeColor="text1"/>
                <w:kern w:val="1"/>
                <w:sz w:val="20"/>
                <w14:textFill>
                  <w14:solidFill>
                    <w14:schemeClr w14:val="tx1"/>
                  </w14:solidFill>
                </w14:textFill>
              </w:rPr>
            </w:pPr>
            <w:r>
              <w:rPr>
                <w:rFonts w:hint="eastAsia" w:ascii="微软雅黑" w:hAnsi="微软雅黑" w:eastAsia="微软雅黑" w:cs="微软雅黑"/>
                <w:color w:val="FF9A00"/>
                <w:kern w:val="1"/>
                <w:sz w:val="20"/>
              </w:rPr>
              <w:t>ITEM</w:t>
            </w:r>
            <w:r>
              <w:rPr>
                <w:rFonts w:ascii="微软雅黑" w:hAnsi="微软雅黑" w:eastAsia="微软雅黑" w:cs="微软雅黑"/>
                <w:color w:val="FF9A00"/>
                <w:kern w:val="1"/>
                <w:sz w:val="20"/>
              </w:rPr>
              <w:t>03</w:t>
            </w:r>
            <w:r>
              <w:rPr>
                <w:rFonts w:hint="eastAsia" w:ascii="微软雅黑" w:hAnsi="微软雅黑" w:eastAsia="微软雅黑" w:cs="微软雅黑"/>
                <w:color w:val="FF9A00"/>
                <w:kern w:val="1"/>
                <w:sz w:val="20"/>
              </w:rPr>
              <w:t xml:space="preserve"> </w:t>
            </w:r>
            <w:r>
              <w:rPr>
                <w:rFonts w:hint="eastAsia" w:ascii="微软雅黑" w:hAnsi="微软雅黑" w:eastAsia="微软雅黑" w:cs="微软雅黑"/>
                <w:color w:val="000000" w:themeColor="text1"/>
                <w:kern w:val="1"/>
                <w:sz w:val="20"/>
                <w14:textFill>
                  <w14:solidFill>
                    <w14:schemeClr w14:val="tx1"/>
                  </w14:solidFill>
                </w14:textFill>
              </w:rPr>
              <w:t>大堂天花背景墙美化设计</w:t>
            </w:r>
          </w:p>
          <w:p w14:paraId="51D29B09">
            <w:pPr>
              <w:keepNext w:val="0"/>
              <w:keepLines w:val="0"/>
              <w:pageBreakBefore w:val="0"/>
              <w:widowControl w:val="0"/>
              <w:kinsoku/>
              <w:wordWrap/>
              <w:overflowPunct/>
              <w:topLinePunct w:val="0"/>
              <w:bidi w:val="0"/>
              <w:spacing w:line="520" w:lineRule="exact"/>
              <w:textAlignment w:val="auto"/>
              <w:rPr>
                <w:rFonts w:hint="eastAsia" w:ascii="微软雅黑" w:hAnsi="微软雅黑" w:eastAsia="微软雅黑" w:cs="微软雅黑"/>
                <w:color w:val="000000" w:themeColor="text1"/>
                <w:kern w:val="1"/>
                <w:sz w:val="20"/>
                <w14:textFill>
                  <w14:solidFill>
                    <w14:schemeClr w14:val="tx1"/>
                  </w14:solidFill>
                </w14:textFill>
              </w:rPr>
            </w:pPr>
            <w:r>
              <w:rPr>
                <w:rFonts w:hint="eastAsia" w:ascii="微软雅黑" w:hAnsi="微软雅黑" w:eastAsia="微软雅黑" w:cs="微软雅黑"/>
                <w:color w:val="FF9A00"/>
                <w:kern w:val="1"/>
                <w:sz w:val="20"/>
              </w:rPr>
              <w:t>ITEM</w:t>
            </w:r>
            <w:r>
              <w:rPr>
                <w:rFonts w:ascii="微软雅黑" w:hAnsi="微软雅黑" w:eastAsia="微软雅黑" w:cs="微软雅黑"/>
                <w:color w:val="FF9A00"/>
                <w:kern w:val="1"/>
                <w:sz w:val="20"/>
              </w:rPr>
              <w:t xml:space="preserve">04 </w:t>
            </w:r>
            <w:r>
              <w:rPr>
                <w:rFonts w:hint="eastAsia" w:ascii="微软雅黑" w:hAnsi="微软雅黑" w:eastAsia="微软雅黑" w:cs="微软雅黑"/>
                <w:color w:val="000000" w:themeColor="text1"/>
                <w:kern w:val="1"/>
                <w:sz w:val="20"/>
                <w14:textFill>
                  <w14:solidFill>
                    <w14:schemeClr w14:val="tx1"/>
                  </w14:solidFill>
                </w14:textFill>
              </w:rPr>
              <w:t>大堂休息区设计规范</w:t>
            </w:r>
          </w:p>
          <w:p w14:paraId="17927F57">
            <w:pPr>
              <w:keepNext w:val="0"/>
              <w:keepLines w:val="0"/>
              <w:pageBreakBefore w:val="0"/>
              <w:widowControl w:val="0"/>
              <w:kinsoku/>
              <w:wordWrap/>
              <w:overflowPunct/>
              <w:topLinePunct w:val="0"/>
              <w:bidi w:val="0"/>
              <w:spacing w:line="520" w:lineRule="exact"/>
              <w:textAlignment w:val="auto"/>
              <w:rPr>
                <w:rFonts w:ascii="微软雅黑" w:hAnsi="微软雅黑" w:eastAsia="微软雅黑" w:cs="微软雅黑"/>
                <w:color w:val="000000" w:themeColor="text1"/>
                <w:kern w:val="1"/>
                <w:sz w:val="20"/>
                <w14:textFill>
                  <w14:solidFill>
                    <w14:schemeClr w14:val="tx1"/>
                  </w14:solidFill>
                </w14:textFill>
              </w:rPr>
            </w:pPr>
            <w:r>
              <w:rPr>
                <w:rFonts w:hint="eastAsia" w:ascii="微软雅黑" w:hAnsi="微软雅黑" w:eastAsia="微软雅黑" w:cs="微软雅黑"/>
                <w:color w:val="FF9A00"/>
                <w:kern w:val="1"/>
                <w:sz w:val="20"/>
              </w:rPr>
              <w:t>ITEM</w:t>
            </w:r>
            <w:r>
              <w:rPr>
                <w:rFonts w:ascii="微软雅黑" w:hAnsi="微软雅黑" w:eastAsia="微软雅黑" w:cs="微软雅黑"/>
                <w:color w:val="FF9A00"/>
                <w:kern w:val="1"/>
                <w:sz w:val="20"/>
              </w:rPr>
              <w:t xml:space="preserve">05 </w:t>
            </w:r>
            <w:r>
              <w:rPr>
                <w:rFonts w:hint="eastAsia" w:ascii="微软雅黑" w:hAnsi="微软雅黑" w:eastAsia="微软雅黑" w:cs="微软雅黑"/>
                <w:color w:val="000000" w:themeColor="text1"/>
                <w:kern w:val="1"/>
                <w:sz w:val="20"/>
                <w14:textFill>
                  <w14:solidFill>
                    <w14:schemeClr w14:val="tx1"/>
                  </w14:solidFill>
                </w14:textFill>
              </w:rPr>
              <w:t>大堂导视物料规范</w:t>
            </w:r>
          </w:p>
          <w:p w14:paraId="3FB20A77">
            <w:pPr>
              <w:keepNext w:val="0"/>
              <w:keepLines w:val="0"/>
              <w:pageBreakBefore w:val="0"/>
              <w:widowControl w:val="0"/>
              <w:kinsoku/>
              <w:wordWrap/>
              <w:overflowPunct/>
              <w:topLinePunct w:val="0"/>
              <w:bidi w:val="0"/>
              <w:spacing w:line="520" w:lineRule="exact"/>
              <w:textAlignment w:val="auto"/>
              <w:rPr>
                <w:rFonts w:hint="eastAsia" w:ascii="微软雅黑" w:hAnsi="微软雅黑" w:eastAsia="微软雅黑" w:cs="微软雅黑"/>
                <w:color w:val="000000" w:themeColor="text1"/>
                <w:kern w:val="1"/>
                <w:sz w:val="20"/>
                <w14:textFill>
                  <w14:solidFill>
                    <w14:schemeClr w14:val="tx1"/>
                  </w14:solidFill>
                </w14:textFill>
              </w:rPr>
            </w:pPr>
            <w:r>
              <w:rPr>
                <w:rFonts w:hint="eastAsia" w:ascii="微软雅黑" w:hAnsi="微软雅黑" w:eastAsia="微软雅黑" w:cs="微软雅黑"/>
                <w:color w:val="FF9A00"/>
                <w:kern w:val="1"/>
                <w:sz w:val="20"/>
              </w:rPr>
              <w:t>ITEM</w:t>
            </w:r>
            <w:r>
              <w:rPr>
                <w:rFonts w:ascii="微软雅黑" w:hAnsi="微软雅黑" w:eastAsia="微软雅黑" w:cs="微软雅黑"/>
                <w:color w:val="FF9A00"/>
                <w:kern w:val="1"/>
                <w:sz w:val="20"/>
              </w:rPr>
              <w:t>0</w:t>
            </w:r>
            <w:r>
              <w:rPr>
                <w:rFonts w:hint="eastAsia" w:ascii="微软雅黑" w:hAnsi="微软雅黑" w:eastAsia="微软雅黑" w:cs="微软雅黑"/>
                <w:color w:val="FF9A00"/>
                <w:kern w:val="1"/>
                <w:sz w:val="20"/>
              </w:rPr>
              <w:t>6</w:t>
            </w:r>
            <w:r>
              <w:rPr>
                <w:rFonts w:ascii="微软雅黑" w:hAnsi="微软雅黑" w:eastAsia="微软雅黑" w:cs="微软雅黑"/>
                <w:color w:val="FF9A00"/>
                <w:kern w:val="1"/>
                <w:sz w:val="20"/>
              </w:rPr>
              <w:t xml:space="preserve"> </w:t>
            </w:r>
            <w:r>
              <w:rPr>
                <w:rFonts w:hint="eastAsia" w:ascii="微软雅黑" w:hAnsi="微软雅黑" w:eastAsia="微软雅黑" w:cs="微软雅黑"/>
                <w:color w:val="000000" w:themeColor="text1"/>
                <w:kern w:val="1"/>
                <w:sz w:val="20"/>
                <w14:textFill>
                  <w14:solidFill>
                    <w14:schemeClr w14:val="tx1"/>
                  </w14:solidFill>
                </w14:textFill>
              </w:rPr>
              <w:t>诊楼大堂效果图展示</w:t>
            </w:r>
          </w:p>
          <w:p w14:paraId="336F5F2B">
            <w:pPr>
              <w:keepNext w:val="0"/>
              <w:keepLines w:val="0"/>
              <w:pageBreakBefore w:val="0"/>
              <w:widowControl w:val="0"/>
              <w:kinsoku/>
              <w:wordWrap/>
              <w:overflowPunct/>
              <w:topLinePunct w:val="0"/>
              <w:bidi w:val="0"/>
              <w:spacing w:line="520" w:lineRule="exact"/>
              <w:textAlignment w:val="auto"/>
              <w:rPr>
                <w:rFonts w:ascii="微软雅黑" w:hAnsi="微软雅黑" w:eastAsia="微软雅黑" w:cs="微软雅黑"/>
                <w:color w:val="000000" w:themeColor="text1"/>
                <w:kern w:val="1"/>
                <w:sz w:val="20"/>
                <w14:textFill>
                  <w14:solidFill>
                    <w14:schemeClr w14:val="tx1"/>
                  </w14:solidFill>
                </w14:textFill>
              </w:rPr>
            </w:pPr>
            <w:r>
              <w:rPr>
                <w:rFonts w:hint="eastAsia" w:ascii="微软雅黑" w:hAnsi="微软雅黑" w:eastAsia="微软雅黑" w:cs="微软雅黑"/>
                <w:color w:val="FF9A00"/>
                <w:kern w:val="1"/>
                <w:sz w:val="20"/>
              </w:rPr>
              <w:t>ITEM</w:t>
            </w:r>
            <w:r>
              <w:rPr>
                <w:rFonts w:ascii="微软雅黑" w:hAnsi="微软雅黑" w:eastAsia="微软雅黑" w:cs="微软雅黑"/>
                <w:color w:val="FF9A00"/>
                <w:kern w:val="1"/>
                <w:sz w:val="20"/>
              </w:rPr>
              <w:t>0</w:t>
            </w:r>
            <w:r>
              <w:rPr>
                <w:rFonts w:hint="eastAsia" w:ascii="微软雅黑" w:hAnsi="微软雅黑" w:eastAsia="微软雅黑" w:cs="微软雅黑"/>
                <w:color w:val="FF9A00"/>
                <w:kern w:val="1"/>
                <w:sz w:val="20"/>
              </w:rPr>
              <w:t xml:space="preserve">7 </w:t>
            </w:r>
            <w:r>
              <w:rPr>
                <w:rFonts w:hint="eastAsia" w:ascii="微软雅黑" w:hAnsi="微软雅黑" w:eastAsia="微软雅黑" w:cs="微软雅黑"/>
                <w:color w:val="000000" w:themeColor="text1"/>
                <w:kern w:val="1"/>
                <w:sz w:val="20"/>
                <w14:textFill>
                  <w14:solidFill>
                    <w14:schemeClr w14:val="tx1"/>
                  </w14:solidFill>
                </w14:textFill>
              </w:rPr>
              <w:t>户外广告展示设计规范</w:t>
            </w:r>
          </w:p>
        </w:tc>
      </w:tr>
    </w:tbl>
    <w:p w14:paraId="6DD6CC4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四、报价要求</w:t>
      </w:r>
    </w:p>
    <w:p w14:paraId="1F1F15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color w:val="000000"/>
          <w:sz w:val="32"/>
          <w:szCs w:val="32"/>
        </w:rPr>
      </w:pPr>
      <w:r>
        <w:rPr>
          <w:rFonts w:hint="eastAsia" w:ascii="仿宋" w:hAnsi="仿宋" w:eastAsia="仿宋" w:cs="宋体"/>
          <w:color w:val="000000"/>
          <w:sz w:val="32"/>
          <w:szCs w:val="32"/>
        </w:rPr>
        <w:t>报价应包含所有的材料、人工费用及国家规定的各项税费等(总价以及单价)。</w:t>
      </w:r>
    </w:p>
    <w:p w14:paraId="34702C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五、服务要求</w:t>
      </w:r>
    </w:p>
    <w:p w14:paraId="0637625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1.对我院门诊楼一楼大堂和院内空间进行规划设计。</w:t>
      </w:r>
    </w:p>
    <w:p w14:paraId="537565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2.</w:t>
      </w:r>
      <w:r>
        <w:rPr>
          <w:rFonts w:hint="default" w:ascii="仿宋" w:hAnsi="仿宋" w:eastAsia="仿宋" w:cs="宋体"/>
          <w:color w:val="000000"/>
          <w:sz w:val="32"/>
          <w:szCs w:val="32"/>
          <w:lang w:val="en-US" w:eastAsia="zh-CN"/>
        </w:rPr>
        <w:t>设计方案需符合医院标准，确保功能合理、动线流畅，与全院导视系统无缝衔接</w:t>
      </w:r>
      <w:r>
        <w:rPr>
          <w:rFonts w:hint="eastAsia" w:ascii="仿宋" w:hAnsi="仿宋" w:eastAsia="仿宋" w:cs="宋体"/>
          <w:color w:val="000000"/>
          <w:sz w:val="32"/>
          <w:szCs w:val="32"/>
          <w:lang w:val="en-US" w:eastAsia="zh-CN"/>
        </w:rPr>
        <w:t>。</w:t>
      </w:r>
    </w:p>
    <w:p w14:paraId="7743B3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3.供应商需指定专人对接，关键节点双方书面确认。</w:t>
      </w:r>
    </w:p>
    <w:p w14:paraId="11475C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六、交付项目成果及验收要求</w:t>
      </w:r>
      <w:bookmarkStart w:id="0" w:name="_GoBack"/>
      <w:bookmarkEnd w:id="0"/>
    </w:p>
    <w:p w14:paraId="00BD12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1.设计文件：PPT规范文档、PDF预览文件、CAD施工图、3D渲染源文件。</w:t>
      </w:r>
    </w:p>
    <w:p w14:paraId="6A3DCB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供应商必须依照招标文件的要求和投标文件的承诺，对我院的设计要求做出对应的制作，完工后经相关部门进行验收。</w:t>
      </w:r>
    </w:p>
    <w:p w14:paraId="1117F6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.验收标准：</w:t>
      </w:r>
    </w:p>
    <w:p w14:paraId="578D868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w:t>
      </w:r>
      <w:r>
        <w:rPr>
          <w:rFonts w:hint="default" w:ascii="仿宋_GB2312" w:hAnsi="仿宋_GB2312" w:eastAsia="仿宋_GB2312" w:cs="仿宋_GB2312"/>
          <w:kern w:val="2"/>
          <w:sz w:val="32"/>
          <w:szCs w:val="32"/>
          <w:lang w:val="en-US" w:eastAsia="zh-CN" w:bidi="ar-SA"/>
        </w:rPr>
        <w:t>功能性：动线规划通过模拟测试，服务台符合人机工程学</w:t>
      </w:r>
      <w:r>
        <w:rPr>
          <w:rFonts w:hint="eastAsia" w:ascii="仿宋_GB2312" w:hAnsi="仿宋_GB2312" w:eastAsia="仿宋_GB2312" w:cs="仿宋_GB2312"/>
          <w:kern w:val="2"/>
          <w:sz w:val="32"/>
          <w:szCs w:val="32"/>
          <w:lang w:val="en-US" w:eastAsia="zh-CN" w:bidi="ar-SA"/>
        </w:rPr>
        <w:t>。</w:t>
      </w:r>
    </w:p>
    <w:p w14:paraId="6DD3EE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w:t>
      </w:r>
      <w:r>
        <w:rPr>
          <w:rFonts w:hint="default" w:ascii="仿宋_GB2312" w:hAnsi="仿宋_GB2312" w:eastAsia="仿宋_GB2312" w:cs="仿宋_GB2312"/>
          <w:kern w:val="2"/>
          <w:sz w:val="32"/>
          <w:szCs w:val="32"/>
          <w:lang w:val="en-US" w:eastAsia="zh-CN" w:bidi="ar-SA"/>
        </w:rPr>
        <w:t>合规性：符合国家医疗建筑规范及消防要求</w:t>
      </w:r>
      <w:r>
        <w:rPr>
          <w:rFonts w:hint="eastAsia" w:ascii="仿宋_GB2312" w:hAnsi="仿宋_GB2312" w:eastAsia="仿宋_GB2312" w:cs="仿宋_GB2312"/>
          <w:kern w:val="2"/>
          <w:sz w:val="32"/>
          <w:szCs w:val="32"/>
          <w:lang w:val="en-US" w:eastAsia="zh-CN" w:bidi="ar-SA"/>
        </w:rPr>
        <w:t>。</w:t>
      </w:r>
    </w:p>
    <w:p w14:paraId="155941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3.3</w:t>
      </w:r>
      <w:r>
        <w:rPr>
          <w:rFonts w:hint="default" w:ascii="仿宋_GB2312" w:hAnsi="仿宋_GB2312" w:eastAsia="仿宋_GB2312" w:cs="仿宋_GB2312"/>
          <w:kern w:val="2"/>
          <w:sz w:val="32"/>
          <w:szCs w:val="32"/>
          <w:lang w:val="en-US" w:eastAsia="zh-CN" w:bidi="ar-SA"/>
        </w:rPr>
        <w:t>美学性：具备</w:t>
      </w:r>
      <w:r>
        <w:rPr>
          <w:rFonts w:hint="eastAsia" w:ascii="仿宋_GB2312" w:hAnsi="仿宋_GB2312" w:eastAsia="仿宋_GB2312" w:cs="仿宋_GB2312"/>
          <w:kern w:val="2"/>
          <w:sz w:val="32"/>
          <w:szCs w:val="32"/>
          <w:lang w:val="en-US" w:eastAsia="zh-CN" w:bidi="ar-SA"/>
        </w:rPr>
        <w:t>相应</w:t>
      </w:r>
      <w:r>
        <w:rPr>
          <w:rFonts w:hint="default" w:ascii="仿宋_GB2312" w:hAnsi="仿宋_GB2312" w:eastAsia="仿宋_GB2312" w:cs="仿宋_GB2312"/>
          <w:kern w:val="2"/>
          <w:sz w:val="32"/>
          <w:szCs w:val="32"/>
          <w:lang w:val="en-US" w:eastAsia="zh-CN" w:bidi="ar-SA"/>
        </w:rPr>
        <w:t>的设计技巧及合理的色彩搭配。</w:t>
      </w:r>
    </w:p>
    <w:p w14:paraId="7BEF57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七、付款方式</w:t>
      </w:r>
    </w:p>
    <w:p w14:paraId="4F9485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经相关部门验收合格后，供应商开具相应的合法合规的发票，医院在双方核定</w:t>
      </w:r>
      <w:r>
        <w:rPr>
          <w:rFonts w:hint="eastAsia" w:ascii="仿宋_GB2312" w:hAnsi="仿宋_GB2312" w:eastAsia="仿宋_GB2312" w:cs="仿宋_GB2312"/>
          <w:kern w:val="2"/>
          <w:sz w:val="32"/>
          <w:szCs w:val="32"/>
          <w:lang w:val="en-US" w:eastAsia="zh-CN" w:bidi="ar-SA"/>
        </w:rPr>
        <w:t>的时间</w:t>
      </w:r>
      <w:r>
        <w:rPr>
          <w:rFonts w:hint="default" w:ascii="仿宋_GB2312" w:hAnsi="仿宋_GB2312" w:eastAsia="仿宋_GB2312" w:cs="仿宋_GB2312"/>
          <w:kern w:val="2"/>
          <w:sz w:val="32"/>
          <w:szCs w:val="32"/>
          <w:lang w:val="en-US" w:eastAsia="zh-CN" w:bidi="ar-SA"/>
        </w:rPr>
        <w:t>内支付相应的货款。</w:t>
      </w:r>
    </w:p>
    <w:p w14:paraId="462B8F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宋体"/>
          <w:color w:val="00000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A88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A60DE">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A60DE">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5640D"/>
    <w:rsid w:val="178673E4"/>
    <w:rsid w:val="1C7639E1"/>
    <w:rsid w:val="1F693190"/>
    <w:rsid w:val="2D8E6DD2"/>
    <w:rsid w:val="2EDD678B"/>
    <w:rsid w:val="39C95051"/>
    <w:rsid w:val="3A9E7716"/>
    <w:rsid w:val="3B324532"/>
    <w:rsid w:val="4BA356C8"/>
    <w:rsid w:val="4D5F62AD"/>
    <w:rsid w:val="4D7B78B8"/>
    <w:rsid w:val="6AAF3C93"/>
    <w:rsid w:val="71C33899"/>
    <w:rsid w:val="77763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774</Words>
  <Characters>837</Characters>
  <Lines>0</Lines>
  <Paragraphs>0</Paragraphs>
  <TotalTime>298</TotalTime>
  <ScaleCrop>false</ScaleCrop>
  <LinksUpToDate>false</LinksUpToDate>
  <CharactersWithSpaces>847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2025-05-22T08:01:00Z</dcterms:created>
  <dc:creator>zzz</dc:creator>
  <cp:lastModifiedBy>嘟嘟</cp:lastModifiedBy>
  <dcterms:modified xsi:type="dcterms:W3CDTF">2025-05-28T07:04:45Z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eyJoZGlkIjoiYWM1MjZhOTA1NzA5YjExNTkxODczYmU2NjY4MWI5ZmEiLCJ1c2VySWQiOiIyNTUwMjQ4NTMifQ==</vt:lpwstr>
  </property>
  <property fmtid="{D5CDD505-2E9C-101B-9397-08002B2CF9AE}" pid="4" name="ICV">
    <vt:lpwstr>870E8FAEB5E94D1C9C7891182BF2BC01_12</vt:lpwstr>
  </property>
</Properties>
</file>