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7706A">
      <w:pPr>
        <w:spacing w:line="220" w:lineRule="atLeast"/>
        <w:jc w:val="center"/>
        <w:rPr>
          <w:rFonts w:ascii="黑体" w:hAnsi="黑体" w:eastAsia="黑体" w:cs="黑体"/>
          <w:sz w:val="44"/>
          <w:szCs w:val="44"/>
        </w:rPr>
      </w:pPr>
      <w:r>
        <w:rPr>
          <w:rFonts w:hint="eastAsia" w:ascii="黑体" w:hAnsi="黑体" w:eastAsia="黑体" w:cs="黑体"/>
          <w:sz w:val="44"/>
          <w:szCs w:val="44"/>
        </w:rPr>
        <w:t>用户需求</w:t>
      </w:r>
    </w:p>
    <w:p w14:paraId="59704149">
      <w:pPr>
        <w:numPr>
          <w:ilvl w:val="0"/>
          <w:numId w:val="1"/>
        </w:numPr>
        <w:spacing w:line="220" w:lineRule="atLeast"/>
        <w:ind w:firstLine="720"/>
        <w:rPr>
          <w:rFonts w:hint="eastAsia" w:ascii="黑体" w:hAnsi="黑体" w:eastAsia="黑体" w:cs="黑体"/>
          <w:sz w:val="32"/>
          <w:szCs w:val="32"/>
        </w:rPr>
      </w:pPr>
      <w:r>
        <w:rPr>
          <w:rFonts w:hint="eastAsia" w:ascii="黑体" w:hAnsi="黑体" w:eastAsia="黑体" w:cs="黑体"/>
          <w:sz w:val="32"/>
          <w:szCs w:val="32"/>
        </w:rPr>
        <w:t>项目名称</w:t>
      </w:r>
    </w:p>
    <w:p w14:paraId="78F97C4E">
      <w:pPr>
        <w:numPr>
          <w:ilvl w:val="-1"/>
          <w:numId w:val="0"/>
        </w:numPr>
        <w:spacing w:line="220" w:lineRule="atLeast"/>
        <w:ind w:firstLine="0"/>
        <w:rPr>
          <w:rFonts w:ascii="仿宋" w:hAnsi="仿宋" w:eastAsia="仿宋" w:cs="仿宋"/>
          <w:sz w:val="32"/>
          <w:szCs w:val="32"/>
        </w:rPr>
      </w:pPr>
      <w:r>
        <w:rPr>
          <w:rFonts w:hint="eastAsia" w:ascii="仿宋" w:hAnsi="仿宋" w:eastAsia="仿宋" w:cs="仿宋"/>
          <w:sz w:val="32"/>
          <w:szCs w:val="32"/>
        </w:rPr>
        <w:t>广东省第二人民医院惠来医院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惠来县人民医院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拆零药品包装</w:t>
      </w:r>
      <w:r>
        <w:rPr>
          <w:rFonts w:hint="eastAsia" w:ascii="仿宋" w:hAnsi="仿宋" w:eastAsia="仿宋" w:cs="仿宋"/>
          <w:sz w:val="32"/>
          <w:szCs w:val="32"/>
        </w:rPr>
        <w:t>袋采购项目</w:t>
      </w:r>
    </w:p>
    <w:p w14:paraId="5CFBC330">
      <w:pPr>
        <w:adjustRightInd/>
        <w:snapToGrid/>
        <w:spacing w:after="0" w:line="315" w:lineRule="atLeast"/>
        <w:ind w:firstLine="643" w:firstLineChars="200"/>
        <w:rPr>
          <w:rFonts w:ascii="黑体" w:hAnsi="黑体" w:eastAsia="黑体" w:cs="黑体"/>
          <w:color w:val="000000"/>
          <w:sz w:val="32"/>
          <w:szCs w:val="32"/>
        </w:rPr>
      </w:pPr>
      <w:r>
        <w:rPr>
          <w:rFonts w:hint="eastAsia" w:ascii="黑体" w:hAnsi="黑体" w:eastAsia="黑体" w:cs="黑体"/>
          <w:b/>
          <w:bCs/>
          <w:color w:val="000000"/>
          <w:sz w:val="32"/>
          <w:szCs w:val="32"/>
        </w:rPr>
        <w:t>二、供应商资格</w:t>
      </w:r>
    </w:p>
    <w:p w14:paraId="0567E119">
      <w:pPr>
        <w:adjustRightInd/>
        <w:snapToGrid/>
        <w:spacing w:after="0" w:line="315" w:lineRule="atLeast"/>
        <w:ind w:firstLine="645"/>
        <w:rPr>
          <w:rFonts w:ascii="仿宋" w:hAnsi="仿宋" w:eastAsia="仿宋" w:cs="宋体"/>
          <w:color w:val="000000"/>
          <w:sz w:val="32"/>
          <w:szCs w:val="32"/>
        </w:rPr>
      </w:pPr>
      <w:r>
        <w:rPr>
          <w:rFonts w:hint="eastAsia" w:ascii="仿宋" w:hAnsi="仿宋" w:eastAsia="仿宋" w:cs="宋体"/>
          <w:color w:val="000000"/>
          <w:sz w:val="32"/>
          <w:szCs w:val="32"/>
        </w:rPr>
        <w:t>1、必须是在中华人民共和国境内注册的具有独立承担民事责任能力的法人；</w:t>
      </w:r>
    </w:p>
    <w:p w14:paraId="3C956043">
      <w:pPr>
        <w:pStyle w:val="8"/>
        <w:ind w:firstLine="640" w:firstLineChars="200"/>
        <w:rPr>
          <w:rFonts w:ascii="仿宋" w:hAnsi="仿宋" w:eastAsia="仿宋"/>
          <w:sz w:val="32"/>
          <w:szCs w:val="32"/>
        </w:rPr>
      </w:pPr>
      <w:r>
        <w:rPr>
          <w:rFonts w:hint="eastAsia" w:ascii="仿宋" w:hAnsi="仿宋" w:eastAsia="仿宋"/>
          <w:sz w:val="32"/>
          <w:szCs w:val="32"/>
        </w:rPr>
        <w:t>2、依法取得营业执照（或事业单位法人证书，或社会团体法人登记证书，或执业许可证）、组织机构代码证和税务登记证复印件（或者“三证合一”复印件）（加盖公章）。</w:t>
      </w:r>
    </w:p>
    <w:p w14:paraId="35BF5A5E">
      <w:pPr>
        <w:pStyle w:val="8"/>
        <w:ind w:firstLine="640" w:firstLineChars="200"/>
        <w:jc w:val="both"/>
        <w:rPr>
          <w:rFonts w:ascii="仿宋" w:hAnsi="仿宋" w:eastAsia="仿宋"/>
          <w:sz w:val="32"/>
          <w:szCs w:val="32"/>
        </w:rPr>
      </w:pPr>
      <w:bookmarkStart w:id="0" w:name="_GoBack"/>
      <w:r>
        <w:rPr>
          <w:rFonts w:hint="eastAsia" w:ascii="仿宋" w:hAnsi="仿宋" w:eastAsia="仿宋"/>
          <w:sz w:val="32"/>
          <w:szCs w:val="32"/>
        </w:rPr>
        <w:t>3、符合</w:t>
      </w:r>
      <w:r>
        <w:rPr>
          <w:rFonts w:hint="eastAsia" w:ascii="仿宋" w:hAnsi="仿宋" w:eastAsia="仿宋" w:cs="仿宋"/>
          <w:sz w:val="32"/>
          <w:szCs w:val="32"/>
          <w:lang w:val="en-US" w:eastAsia="zh-CN"/>
        </w:rPr>
        <w:t>药品包装</w:t>
      </w:r>
      <w:r>
        <w:rPr>
          <w:rFonts w:hint="eastAsia" w:ascii="仿宋" w:hAnsi="仿宋" w:eastAsia="仿宋" w:cs="仿宋"/>
          <w:sz w:val="32"/>
          <w:szCs w:val="32"/>
        </w:rPr>
        <w:t>袋</w:t>
      </w:r>
      <w:r>
        <w:rPr>
          <w:rFonts w:hint="eastAsia" w:ascii="仿宋" w:hAnsi="仿宋" w:eastAsia="仿宋"/>
          <w:sz w:val="32"/>
          <w:szCs w:val="32"/>
        </w:rPr>
        <w:t>生产的相关标准证件。</w:t>
      </w:r>
    </w:p>
    <w:bookmarkEnd w:id="0"/>
    <w:p w14:paraId="3DAD0F6D">
      <w:pPr>
        <w:pStyle w:val="8"/>
        <w:ind w:firstLine="480" w:firstLineChars="150"/>
        <w:rPr>
          <w:rFonts w:ascii="黑体" w:hAnsi="黑体" w:eastAsia="黑体" w:cs="黑体"/>
          <w:b/>
          <w:bCs/>
          <w:color w:val="000000"/>
          <w:sz w:val="32"/>
          <w:szCs w:val="32"/>
        </w:rPr>
      </w:pPr>
      <w:r>
        <w:rPr>
          <w:rFonts w:hint="eastAsia" w:ascii="仿宋" w:hAnsi="仿宋" w:eastAsia="仿宋"/>
          <w:sz w:val="32"/>
          <w:szCs w:val="32"/>
        </w:rPr>
        <w:t xml:space="preserve"> 4、不接受联合体报名。</w:t>
      </w:r>
    </w:p>
    <w:p w14:paraId="5E113A01">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660" w:leftChars="0"/>
        <w:textAlignment w:val="auto"/>
        <w:rPr>
          <w:rFonts w:hint="eastAsia" w:ascii="黑体" w:hAnsi="黑体" w:eastAsia="黑体" w:cs="黑体"/>
          <w:b/>
          <w:bCs/>
          <w:color w:val="000000"/>
          <w:sz w:val="32"/>
          <w:szCs w:val="32"/>
          <w:highlight w:val="none"/>
        </w:rPr>
      </w:pPr>
      <w:r>
        <w:rPr>
          <w:rFonts w:hint="eastAsia" w:ascii="黑体" w:hAnsi="黑体" w:eastAsia="黑体" w:cs="黑体"/>
          <w:b/>
          <w:bCs/>
          <w:color w:val="000000"/>
          <w:sz w:val="32"/>
          <w:szCs w:val="32"/>
          <w:highlight w:val="none"/>
          <w:lang w:val="en-US" w:eastAsia="zh-CN"/>
        </w:rPr>
        <w:t>三、技术</w:t>
      </w:r>
      <w:r>
        <w:rPr>
          <w:rFonts w:hint="eastAsia" w:ascii="黑体" w:hAnsi="黑体" w:eastAsia="黑体" w:cs="黑体"/>
          <w:b/>
          <w:bCs/>
          <w:color w:val="000000"/>
          <w:sz w:val="32"/>
          <w:szCs w:val="32"/>
          <w:highlight w:val="none"/>
        </w:rPr>
        <w:t>需求</w:t>
      </w:r>
    </w:p>
    <w:p w14:paraId="0EF0D658">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660" w:leftChars="0"/>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适用标准（合规底线）</w:t>
      </w:r>
    </w:p>
    <w:p w14:paraId="021174B9">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320" w:firstLineChars="100"/>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核心：GSP（2016版）、YBB药包材标准、GB 4806.7食品接触塑料、中国药典5307/5309。</w:t>
      </w:r>
    </w:p>
    <w:p w14:paraId="7F94466A">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19" w:leftChars="145" w:firstLine="320" w:firstLineChars="100"/>
        <w:textAlignment w:val="auto"/>
        <w:rPr>
          <w:rFonts w:hint="eastAsia" w:ascii="仿宋" w:hAnsi="仿宋" w:eastAsia="仿宋"/>
          <w:sz w:val="32"/>
          <w:szCs w:val="32"/>
          <w:highlight w:val="none"/>
        </w:rPr>
      </w:pPr>
      <w:r>
        <w:rPr>
          <w:rFonts w:hint="eastAsia" w:ascii="仿宋" w:hAnsi="仿宋" w:eastAsia="仿宋"/>
          <w:sz w:val="32"/>
          <w:szCs w:val="32"/>
          <w:highlight w:val="none"/>
        </w:rPr>
        <w:t>定位：直接接触口服固体制剂（片剂/胶囊/颗粒）的单剂量/小剂量拆零袋，非无菌、短期使用（≤30天） 。</w:t>
      </w:r>
    </w:p>
    <w:p w14:paraId="7D7DB686">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245"/>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2.材质与结构（安全+低成本）</w:t>
      </w:r>
    </w:p>
    <w:p w14:paraId="00B60292">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245"/>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基础材质（首选）：单层LDPE/HDPE（50–80μm），无毒、无溶出、热封好、成本低。</w:t>
      </w:r>
    </w:p>
    <w:p w14:paraId="5E784571">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245"/>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防潮材质（易潮药）：PET/PE复合（12/50μm），WVTR≤5g/(m²·24h)。</w:t>
      </w:r>
    </w:p>
    <w:p w14:paraId="3D2C2F99">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245"/>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内层：药用级PE，无增塑剂、无荧光剂、与药品相容。</w:t>
      </w:r>
    </w:p>
    <w:p w14:paraId="3AE26BDA">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245"/>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印刷：药用级水性油墨，无重金属、无苯、迁移合格。</w:t>
      </w:r>
    </w:p>
    <w:p w14:paraId="6E001D16">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245"/>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w:t>
      </w:r>
      <w:r>
        <w:rPr>
          <w:rFonts w:hint="default" w:ascii="仿宋" w:hAnsi="仿宋" w:eastAsia="仿宋"/>
          <w:sz w:val="32"/>
          <w:szCs w:val="32"/>
          <w:highlight w:val="none"/>
          <w:lang w:val="en-US" w:eastAsia="zh-CN"/>
        </w:rPr>
        <w:t>物理性能（防漏+易用）</w:t>
      </w:r>
    </w:p>
    <w:p w14:paraId="2379B6B9">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245"/>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厚度：50–80μm，均匀、无针孔、无破损。</w:t>
      </w:r>
    </w:p>
    <w:p w14:paraId="78A41779">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245"/>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尺寸：单剂量（6×8cm）、多剂量（8×12cm），可定制 。</w:t>
      </w:r>
    </w:p>
    <w:p w14:paraId="71977A63">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245"/>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拉伸强度：纵/横向≥20MPa（不易撕裂）。</w:t>
      </w:r>
    </w:p>
    <w:p w14:paraId="6661CA41">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245"/>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热合强度：≥5.0N/15mm（密封不泄漏）。</w:t>
      </w:r>
    </w:p>
    <w:p w14:paraId="1F2B3157">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245"/>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密封性：无针孔、耐压≥5kPa不破裂。</w:t>
      </w:r>
    </w:p>
    <w:p w14:paraId="658FD133">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245"/>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开启性：锯齿/易撕口，老人易开、防儿童误开 。</w:t>
      </w:r>
    </w:p>
    <w:p w14:paraId="2E645434">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245"/>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袋型：三边封、自封袋（可选），方便分装与存放 。</w:t>
      </w:r>
    </w:p>
    <w:p w14:paraId="49B459A8">
      <w:pPr>
        <w:keepNext w:val="0"/>
        <w:keepLines w:val="0"/>
        <w:pageBreakBefore w:val="0"/>
        <w:widowControl/>
        <w:numPr>
          <w:ilvl w:val="-1"/>
          <w:numId w:val="0"/>
        </w:numPr>
        <w:kinsoku/>
        <w:wordWrap/>
        <w:overflowPunct/>
        <w:topLinePunct w:val="0"/>
        <w:autoSpaceDE/>
        <w:autoSpaceDN/>
        <w:bidi w:val="0"/>
        <w:adjustRightInd/>
        <w:snapToGrid/>
        <w:spacing w:after="0" w:line="460" w:lineRule="exact"/>
        <w:ind w:leftChars="0"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4.</w:t>
      </w:r>
      <w:r>
        <w:rPr>
          <w:rFonts w:hint="default" w:ascii="仿宋" w:hAnsi="仿宋" w:eastAsia="仿宋"/>
          <w:sz w:val="32"/>
          <w:szCs w:val="32"/>
          <w:highlight w:val="none"/>
          <w:lang w:val="en-US" w:eastAsia="zh-CN"/>
        </w:rPr>
        <w:t>阻隔性能（短期保质）</w:t>
      </w:r>
    </w:p>
    <w:p w14:paraId="2EC57638">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水蒸气透过率（WVTR）：</w:t>
      </w:r>
    </w:p>
    <w:p w14:paraId="6BE2599D">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普通药：≤10g/(m²·24h)。</w:t>
      </w:r>
    </w:p>
    <w:p w14:paraId="1ABC2F25">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易潮药：≤5g/(m²·24h)。</w:t>
      </w:r>
    </w:p>
    <w:p w14:paraId="1869D461">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氧气透过率（OTR）：≤5cm³/(m²·24h·atm)（防氧化）。</w:t>
      </w:r>
    </w:p>
    <w:p w14:paraId="1D23C2A1">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640" w:firstLineChars="200"/>
        <w:textAlignment w:val="auto"/>
        <w:rPr>
          <w:rFonts w:hint="eastAsia" w:ascii="仿宋" w:hAnsi="仿宋" w:eastAsia="仿宋"/>
          <w:sz w:val="32"/>
          <w:szCs w:val="32"/>
          <w:highlight w:val="yellow"/>
          <w:lang w:val="en-US" w:eastAsia="zh-CN"/>
        </w:rPr>
      </w:pPr>
      <w:r>
        <w:rPr>
          <w:rFonts w:hint="default" w:ascii="仿宋" w:hAnsi="仿宋" w:eastAsia="仿宋"/>
          <w:sz w:val="32"/>
          <w:szCs w:val="32"/>
          <w:highlight w:val="none"/>
          <w:lang w:val="en-US" w:eastAsia="zh-CN"/>
        </w:rPr>
        <w:t>避光性：普通袋半透明（便于核对）。</w:t>
      </w:r>
    </w:p>
    <w:p w14:paraId="536D8D32">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321" w:firstLineChars="100"/>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 xml:space="preserve">四、结算方式 </w:t>
      </w:r>
    </w:p>
    <w:p w14:paraId="2D427A49">
      <w:pPr>
        <w:keepNext w:val="0"/>
        <w:keepLines w:val="0"/>
        <w:pageBreakBefore w:val="0"/>
        <w:widowControl/>
        <w:kinsoku/>
        <w:wordWrap/>
        <w:overflowPunct/>
        <w:topLinePunct w:val="0"/>
        <w:autoSpaceDE/>
        <w:autoSpaceDN/>
        <w:bidi w:val="0"/>
        <w:spacing w:after="0" w:line="460" w:lineRule="exact"/>
        <w:ind w:left="220" w:leftChars="100" w:firstLine="640" w:firstLineChars="200"/>
        <w:textAlignment w:val="auto"/>
        <w:rPr>
          <w:rFonts w:ascii="仿宋" w:hAnsi="仿宋" w:eastAsia="仿宋"/>
          <w:sz w:val="32"/>
          <w:szCs w:val="32"/>
        </w:rPr>
      </w:pPr>
      <w:r>
        <w:rPr>
          <w:rFonts w:hint="eastAsia" w:ascii="仿宋" w:hAnsi="仿宋" w:eastAsia="仿宋"/>
          <w:sz w:val="32"/>
          <w:szCs w:val="32"/>
        </w:rPr>
        <w:t>采用月结支付方式，即供应商按医院订单，随时供货，由总务股相关人员签收确认，月底进行统计汇总后，供应商开具相应的合法合规的发票后，医院在双方核定后一个月内支付相应的货款。</w:t>
      </w:r>
    </w:p>
    <w:p w14:paraId="40D4D5F0">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321" w:firstLineChars="100"/>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五、报价要求</w:t>
      </w:r>
    </w:p>
    <w:p w14:paraId="46F37640">
      <w:pPr>
        <w:adjustRightInd/>
        <w:snapToGrid/>
        <w:spacing w:line="315" w:lineRule="atLeast"/>
        <w:ind w:firstLine="640" w:firstLineChars="200"/>
        <w:rPr>
          <w:rFonts w:ascii="仿宋" w:hAnsi="仿宋" w:eastAsia="仿宋"/>
          <w:sz w:val="32"/>
          <w:szCs w:val="32"/>
        </w:rPr>
      </w:pPr>
      <w:r>
        <w:rPr>
          <w:rFonts w:hint="eastAsia" w:ascii="仿宋" w:hAnsi="仿宋" w:eastAsia="仿宋" w:cs="宋体"/>
          <w:color w:val="auto"/>
          <w:sz w:val="32"/>
          <w:szCs w:val="32"/>
          <w:lang w:val="en-US" w:eastAsia="zh-CN"/>
        </w:rPr>
        <w:t>报包装袋单价，报价应包含包装费、搬运费、运输费、供应商承诺项目所产生的费用及国家规定的各项税费等。</w:t>
      </w:r>
    </w:p>
    <w:p w14:paraId="676AB2FE">
      <w:pPr>
        <w:keepNext w:val="0"/>
        <w:keepLines w:val="0"/>
        <w:pageBreakBefore w:val="0"/>
        <w:widowControl/>
        <w:numPr>
          <w:ilvl w:val="0"/>
          <w:numId w:val="2"/>
        </w:numPr>
        <w:kinsoku/>
        <w:wordWrap/>
        <w:overflowPunct/>
        <w:topLinePunct w:val="0"/>
        <w:autoSpaceDE/>
        <w:autoSpaceDN/>
        <w:bidi w:val="0"/>
        <w:adjustRightInd/>
        <w:snapToGrid/>
        <w:spacing w:after="0" w:line="460" w:lineRule="exact"/>
        <w:ind w:firstLine="321" w:firstLineChars="100"/>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服务年限：一年。</w:t>
      </w:r>
    </w:p>
    <w:p w14:paraId="0F02DA54">
      <w:pPr>
        <w:keepNext w:val="0"/>
        <w:keepLines w:val="0"/>
        <w:pageBreakBefore w:val="0"/>
        <w:widowControl/>
        <w:numPr>
          <w:ilvl w:val="-1"/>
          <w:numId w:val="0"/>
        </w:numPr>
        <w:kinsoku/>
        <w:wordWrap/>
        <w:overflowPunct/>
        <w:topLinePunct w:val="0"/>
        <w:autoSpaceDE/>
        <w:autoSpaceDN/>
        <w:bidi w:val="0"/>
        <w:adjustRightInd/>
        <w:snapToGrid/>
        <w:spacing w:after="0" w:line="460" w:lineRule="exact"/>
        <w:ind w:firstLine="0" w:firstLineChars="0"/>
        <w:textAlignment w:val="auto"/>
        <w:rPr>
          <w:rFonts w:hint="eastAsia" w:ascii="黑体" w:hAnsi="黑体" w:eastAsia="黑体" w:cs="黑体"/>
          <w:b/>
          <w:bCs/>
          <w:color w:val="000000"/>
          <w:sz w:val="32"/>
          <w:szCs w:val="32"/>
          <w:lang w:val="en-US" w:eastAsia="zh-CN"/>
        </w:rPr>
      </w:pPr>
    </w:p>
    <w:p w14:paraId="6B4AC49B">
      <w:pPr>
        <w:pStyle w:val="7"/>
        <w:keepNext w:val="0"/>
        <w:keepLines w:val="0"/>
        <w:pageBreakBefore w:val="0"/>
        <w:widowControl/>
        <w:numPr>
          <w:ilvl w:val="0"/>
          <w:numId w:val="3"/>
        </w:numPr>
        <w:kinsoku/>
        <w:wordWrap/>
        <w:overflowPunct/>
        <w:topLinePunct w:val="0"/>
        <w:autoSpaceDE/>
        <w:autoSpaceDN/>
        <w:bidi w:val="0"/>
        <w:spacing w:after="0" w:line="460" w:lineRule="exact"/>
        <w:ind w:firstLineChars="0"/>
        <w:textAlignment w:val="auto"/>
        <w:rPr>
          <w:rFonts w:ascii="仿宋" w:hAnsi="仿宋" w:eastAsia="仿宋"/>
          <w:sz w:val="32"/>
          <w:szCs w:val="32"/>
        </w:rPr>
      </w:pPr>
      <w:r>
        <w:rPr>
          <w:rFonts w:hint="eastAsia" w:ascii="仿宋" w:hAnsi="仿宋" w:eastAsia="仿宋"/>
          <w:sz w:val="32"/>
          <w:szCs w:val="32"/>
        </w:rPr>
        <w:t>提供样品参与论证。</w:t>
      </w:r>
    </w:p>
    <w:p w14:paraId="7581E5DD">
      <w:pPr>
        <w:pStyle w:val="7"/>
        <w:keepNext w:val="0"/>
        <w:keepLines w:val="0"/>
        <w:pageBreakBefore w:val="0"/>
        <w:widowControl/>
        <w:kinsoku/>
        <w:wordWrap/>
        <w:overflowPunct/>
        <w:topLinePunct w:val="0"/>
        <w:autoSpaceDE/>
        <w:autoSpaceDN/>
        <w:bidi w:val="0"/>
        <w:spacing w:after="0" w:line="240" w:lineRule="auto"/>
        <w:ind w:left="720" w:firstLine="0" w:firstLineChars="0"/>
        <w:textAlignment w:val="auto"/>
        <w:rPr>
          <w:rFonts w:ascii="仿宋" w:hAnsi="仿宋" w:eastAsia="仿宋"/>
          <w:sz w:val="32"/>
          <w:szCs w:val="32"/>
        </w:rPr>
      </w:pPr>
    </w:p>
    <w:sectPr>
      <w:pgSz w:w="11906" w:h="16838"/>
      <w:pgMar w:top="1440" w:right="1417" w:bottom="1440"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28C46"/>
    <w:multiLevelType w:val="singleLevel"/>
    <w:tmpl w:val="41128C46"/>
    <w:lvl w:ilvl="0" w:tentative="0">
      <w:start w:val="6"/>
      <w:numFmt w:val="chineseCounting"/>
      <w:suff w:val="nothing"/>
      <w:lvlText w:val="%1、"/>
      <w:lvlJc w:val="left"/>
      <w:rPr>
        <w:rFonts w:hint="eastAsia"/>
      </w:rPr>
    </w:lvl>
  </w:abstractNum>
  <w:abstractNum w:abstractNumId="1">
    <w:nsid w:val="5391DB28"/>
    <w:multiLevelType w:val="singleLevel"/>
    <w:tmpl w:val="5391DB28"/>
    <w:lvl w:ilvl="0" w:tentative="0">
      <w:start w:val="1"/>
      <w:numFmt w:val="chineseCounting"/>
      <w:suff w:val="nothing"/>
      <w:lvlText w:val="%1、"/>
      <w:lvlJc w:val="left"/>
      <w:rPr>
        <w:rFonts w:hint="eastAsia"/>
      </w:rPr>
    </w:lvl>
  </w:abstractNum>
  <w:abstractNum w:abstractNumId="2">
    <w:nsid w:val="55CB0B3B"/>
    <w:multiLevelType w:val="multilevel"/>
    <w:tmpl w:val="55CB0B3B"/>
    <w:lvl w:ilvl="0" w:tentative="0">
      <w:start w:val="1"/>
      <w:numFmt w:val="bullet"/>
      <w:lvlText w:val="▲"/>
      <w:lvlJc w:val="left"/>
      <w:pPr>
        <w:ind w:left="1260" w:hanging="420"/>
      </w:pPr>
      <w:rPr>
        <w:rFonts w:hint="eastAsia" w:ascii="仿宋" w:hAnsi="仿宋" w:eastAsia="仿宋"/>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trackRevisions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ZTc1M2M2YTQzMGNkMTkxYjhhZTE2ZmZjZDJmNjkifQ=="/>
    <w:docVar w:name="KSO_WPS_MARK_KEY" w:val="3f61cbb7-d1b7-4c0e-9d42-d67856a61739"/>
  </w:docVars>
  <w:rsids>
    <w:rsidRoot w:val="00D31D50"/>
    <w:rsid w:val="000739A0"/>
    <w:rsid w:val="0012616C"/>
    <w:rsid w:val="001E3B65"/>
    <w:rsid w:val="00246A2D"/>
    <w:rsid w:val="002E1ED1"/>
    <w:rsid w:val="00323B43"/>
    <w:rsid w:val="00356FDD"/>
    <w:rsid w:val="00364E91"/>
    <w:rsid w:val="00392BB2"/>
    <w:rsid w:val="003D37D8"/>
    <w:rsid w:val="00426133"/>
    <w:rsid w:val="004358AB"/>
    <w:rsid w:val="005723E3"/>
    <w:rsid w:val="005C3500"/>
    <w:rsid w:val="005E6A1A"/>
    <w:rsid w:val="00612914"/>
    <w:rsid w:val="00621C13"/>
    <w:rsid w:val="007A1FFC"/>
    <w:rsid w:val="008139F3"/>
    <w:rsid w:val="00840817"/>
    <w:rsid w:val="008B7726"/>
    <w:rsid w:val="009C3ED9"/>
    <w:rsid w:val="00A95294"/>
    <w:rsid w:val="00B42D1E"/>
    <w:rsid w:val="00B66736"/>
    <w:rsid w:val="00C64027"/>
    <w:rsid w:val="00C86260"/>
    <w:rsid w:val="00D31D50"/>
    <w:rsid w:val="00E41F3F"/>
    <w:rsid w:val="05215177"/>
    <w:rsid w:val="05DB5448"/>
    <w:rsid w:val="10866E5B"/>
    <w:rsid w:val="22424EDB"/>
    <w:rsid w:val="22B24A96"/>
    <w:rsid w:val="27B142BC"/>
    <w:rsid w:val="29180493"/>
    <w:rsid w:val="306B53B0"/>
    <w:rsid w:val="3AE233EA"/>
    <w:rsid w:val="40520DD1"/>
    <w:rsid w:val="40C673EA"/>
    <w:rsid w:val="42B92207"/>
    <w:rsid w:val="44FF5255"/>
    <w:rsid w:val="5A9401CD"/>
    <w:rsid w:val="5B655E6D"/>
    <w:rsid w:val="6344708E"/>
    <w:rsid w:val="6A854F52"/>
    <w:rsid w:val="6AF14C48"/>
    <w:rsid w:val="6C8A7920"/>
    <w:rsid w:val="6CC854E8"/>
    <w:rsid w:val="7C0047A3"/>
    <w:rsid w:val="7ECD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pPr>
      <w:spacing w:after="0"/>
    </w:pPr>
    <w:rPr>
      <w:sz w:val="18"/>
      <w:szCs w:val="18"/>
    </w:rPr>
  </w:style>
  <w:style w:type="paragraph" w:styleId="3">
    <w:name w:val="footer"/>
    <w:basedOn w:val="1"/>
    <w:link w:val="10"/>
    <w:semiHidden/>
    <w:unhideWhenUsed/>
    <w:qFormat/>
    <w:uiPriority w:val="99"/>
    <w:pPr>
      <w:tabs>
        <w:tab w:val="center" w:pos="4153"/>
        <w:tab w:val="right" w:pos="8306"/>
      </w:tabs>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List Paragraph"/>
    <w:basedOn w:val="1"/>
    <w:qFormat/>
    <w:uiPriority w:val="34"/>
    <w:pPr>
      <w:ind w:firstLine="420" w:firstLineChars="200"/>
    </w:pPr>
  </w:style>
  <w:style w:type="paragraph" w:styleId="8">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9">
    <w:name w:val="页眉 Char"/>
    <w:basedOn w:val="6"/>
    <w:link w:val="4"/>
    <w:autoRedefine/>
    <w:semiHidden/>
    <w:qFormat/>
    <w:uiPriority w:val="99"/>
    <w:rPr>
      <w:rFonts w:ascii="Tahoma" w:hAnsi="Tahoma"/>
      <w:sz w:val="18"/>
      <w:szCs w:val="18"/>
    </w:rPr>
  </w:style>
  <w:style w:type="character" w:customStyle="1" w:styleId="10">
    <w:name w:val="页脚 Char"/>
    <w:basedOn w:val="6"/>
    <w:link w:val="3"/>
    <w:autoRedefine/>
    <w:semiHidden/>
    <w:qFormat/>
    <w:uiPriority w:val="99"/>
    <w:rPr>
      <w:rFonts w:ascii="Tahoma" w:hAnsi="Tahoma"/>
      <w:sz w:val="18"/>
      <w:szCs w:val="18"/>
    </w:rPr>
  </w:style>
  <w:style w:type="character" w:customStyle="1" w:styleId="11">
    <w:name w:val="批注框文本 Char"/>
    <w:basedOn w:val="6"/>
    <w:link w:val="2"/>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891</Words>
  <Characters>1012</Characters>
  <Lines>6</Lines>
  <Paragraphs>1</Paragraphs>
  <TotalTime>7</TotalTime>
  <ScaleCrop>false</ScaleCrop>
  <LinksUpToDate>false</LinksUpToDate>
  <CharactersWithSpaces>1025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L⃫i⃫n⃫ k⃫</cp:lastModifiedBy>
  <dcterms:modified xsi:type="dcterms:W3CDTF">2026-04-28T08:34:15Z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FBC8ED583CBC4DCFA457772CC11431CA_13</vt:lpwstr>
  </property>
  <property fmtid="{D5CDD505-2E9C-101B-9397-08002B2CF9AE}" pid="4" name="KSOTemplateDocerSaveRecord">
    <vt:lpwstr>eyJoZGlkIjoiZWVjNTA3MzAyNzE3MTk2NmJjYzBiNGY5NmUzYzE0NmMiLCJ1c2VySWQiOiIxMDc3NzE5ODgyIn0=</vt:lpwstr>
  </property>
</Properties>
</file>